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E46D0">
      <w:pPr>
        <w:jc w:val="center"/>
        <w:rPr>
          <w:rFonts w:hint="default" w:eastAsiaTheme="minorEastAsia"/>
          <w:b/>
          <w:bCs/>
          <w:sz w:val="32"/>
          <w:szCs w:val="32"/>
          <w:lang w:val="en-US" w:eastAsia="zh-CN"/>
        </w:rPr>
      </w:pPr>
      <w:bookmarkStart w:id="0" w:name="_GoBack"/>
      <w:bookmarkEnd w:id="0"/>
      <w:r>
        <w:rPr>
          <w:rFonts w:hint="eastAsia"/>
          <w:b/>
          <w:bCs/>
          <w:sz w:val="32"/>
          <w:szCs w:val="32"/>
        </w:rPr>
        <w:t>广东省图象图形学会情感计算专委会成立大会暨学术报告</w:t>
      </w:r>
    </w:p>
    <w:p w14:paraId="1D337188">
      <w:pPr>
        <w:rPr>
          <w:rFonts w:hint="eastAsia"/>
          <w:sz w:val="28"/>
          <w:szCs w:val="28"/>
        </w:rPr>
      </w:pPr>
      <w:r>
        <w:rPr>
          <w:rFonts w:hint="eastAsia"/>
          <w:b/>
          <w:bCs/>
          <w:color w:val="0070C0"/>
          <w:sz w:val="28"/>
          <w:szCs w:val="28"/>
          <w:lang w:val="en-US" w:eastAsia="zh-CN"/>
        </w:rPr>
        <w:t>一</w:t>
      </w:r>
      <w:r>
        <w:rPr>
          <w:rFonts w:hint="eastAsia"/>
          <w:b/>
          <w:bCs/>
          <w:color w:val="0070C0"/>
          <w:sz w:val="28"/>
          <w:szCs w:val="28"/>
        </w:rPr>
        <w:t>、</w:t>
      </w:r>
      <w:r>
        <w:rPr>
          <w:rFonts w:hint="eastAsia"/>
          <w:b/>
          <w:bCs/>
          <w:color w:val="0070C0"/>
          <w:sz w:val="28"/>
          <w:szCs w:val="28"/>
          <w:lang w:val="en-US" w:eastAsia="zh-CN"/>
        </w:rPr>
        <w:t>活动信息</w:t>
      </w:r>
      <w:r>
        <w:rPr>
          <w:rFonts w:hint="eastAsia"/>
          <w:sz w:val="28"/>
          <w:szCs w:val="28"/>
        </w:rPr>
        <w:t>：</w:t>
      </w:r>
    </w:p>
    <w:p w14:paraId="2E52C370">
      <w:pPr>
        <w:jc w:val="both"/>
        <w:rPr>
          <w:rFonts w:hint="eastAsia" w:eastAsiaTheme="minorEastAsia"/>
          <w:lang w:eastAsia="zh-CN"/>
        </w:rPr>
      </w:pPr>
      <w:r>
        <w:rPr>
          <w:rFonts w:hint="eastAsia"/>
        </w:rPr>
        <w:t>主办单位：广东省图象图形学会（</w:t>
      </w:r>
      <w:r>
        <w:rPr>
          <w:rFonts w:hint="eastAsia"/>
          <w:lang w:val="en-US" w:eastAsia="zh-CN"/>
        </w:rPr>
        <w:t>GD</w:t>
      </w:r>
      <w:r>
        <w:rPr>
          <w:rFonts w:hint="eastAsia"/>
        </w:rPr>
        <w:t>SIG）</w:t>
      </w:r>
      <w:r>
        <w:rPr>
          <w:rFonts w:hint="eastAsia"/>
          <w:lang w:eastAsia="zh-CN"/>
        </w:rPr>
        <w:t>、</w:t>
      </w:r>
      <w:r>
        <w:rPr>
          <w:rFonts w:hint="eastAsia"/>
        </w:rPr>
        <w:t>广东省图象图形学会情感计算专委会</w:t>
      </w:r>
    </w:p>
    <w:p w14:paraId="58690830">
      <w:pPr>
        <w:jc w:val="both"/>
        <w:rPr>
          <w:rFonts w:hint="eastAsia"/>
        </w:rPr>
      </w:pPr>
      <w:r>
        <w:rPr>
          <w:rFonts w:hint="eastAsia"/>
        </w:rPr>
        <w:t>承办单位：</w:t>
      </w:r>
      <w:r>
        <w:rPr>
          <w:rFonts w:hint="eastAsia"/>
          <w:lang w:val="en-US" w:eastAsia="zh-CN"/>
        </w:rPr>
        <w:t>大湾区大学、东莞市智能信息技术重点实验室</w:t>
      </w:r>
      <w:r>
        <w:rPr>
          <w:rFonts w:hint="eastAsia"/>
        </w:rPr>
        <w:t xml:space="preserve">      </w:t>
      </w:r>
    </w:p>
    <w:p w14:paraId="2B50BC83">
      <w:pPr>
        <w:jc w:val="both"/>
        <w:rPr>
          <w:rFonts w:hint="eastAsia"/>
        </w:rPr>
      </w:pPr>
      <w:r>
        <w:rPr>
          <w:rFonts w:hint="eastAsia"/>
        </w:rPr>
        <w:t>会议时间：202</w:t>
      </w:r>
      <w:r>
        <w:rPr>
          <w:rFonts w:hint="eastAsia"/>
          <w:lang w:val="en-US" w:eastAsia="zh-CN"/>
        </w:rPr>
        <w:t>6</w:t>
      </w:r>
      <w:r>
        <w:rPr>
          <w:rFonts w:hint="eastAsia"/>
        </w:rPr>
        <w:t>年</w:t>
      </w:r>
      <w:r>
        <w:rPr>
          <w:rFonts w:hint="eastAsia"/>
          <w:lang w:val="en-US" w:eastAsia="zh-CN"/>
        </w:rPr>
        <w:t>3</w:t>
      </w:r>
      <w:r>
        <w:rPr>
          <w:rFonts w:hint="eastAsia"/>
        </w:rPr>
        <w:t>月</w:t>
      </w:r>
      <w:r>
        <w:rPr>
          <w:rFonts w:hint="eastAsia"/>
          <w:lang w:val="en-US" w:eastAsia="zh-CN"/>
        </w:rPr>
        <w:t>21</w:t>
      </w:r>
      <w:r>
        <w:rPr>
          <w:rFonts w:hint="eastAsia"/>
        </w:rPr>
        <w:t>日1</w:t>
      </w:r>
      <w:r>
        <w:rPr>
          <w:rFonts w:hint="eastAsia"/>
          <w:lang w:val="en-US" w:eastAsia="zh-CN"/>
        </w:rPr>
        <w:t>4</w:t>
      </w:r>
      <w:r>
        <w:rPr>
          <w:rFonts w:hint="eastAsia"/>
        </w:rPr>
        <w:t>:00</w:t>
      </w:r>
    </w:p>
    <w:p w14:paraId="7F10569E">
      <w:pPr>
        <w:jc w:val="both"/>
        <w:rPr>
          <w:rFonts w:hint="eastAsia"/>
        </w:rPr>
      </w:pPr>
      <w:r>
        <w:rPr>
          <w:rFonts w:hint="eastAsia"/>
        </w:rPr>
        <w:t>会议地点：</w:t>
      </w:r>
      <w:r>
        <w:rPr>
          <w:rFonts w:hint="eastAsia"/>
          <w:lang w:val="en-US" w:eastAsia="zh-CN"/>
        </w:rPr>
        <w:t>广东省东莞市大湾区大学（松山湖校区）教学楼B206报告厅</w:t>
      </w:r>
    </w:p>
    <w:p w14:paraId="18867B6D">
      <w:pPr>
        <w:jc w:val="both"/>
        <w:rPr>
          <w:rFonts w:hint="default"/>
          <w:lang w:val="en-US"/>
        </w:rPr>
      </w:pPr>
      <w:r>
        <w:rPr>
          <w:rFonts w:hint="eastAsia"/>
        </w:rPr>
        <w:t>筹委会联系人：</w:t>
      </w:r>
      <w:r>
        <w:rPr>
          <w:rFonts w:hint="eastAsia"/>
          <w:lang w:val="en-US" w:eastAsia="zh-CN"/>
        </w:rPr>
        <w:t>曾润浩</w:t>
      </w:r>
      <w:r>
        <w:rPr>
          <w:rFonts w:hint="eastAsia"/>
        </w:rPr>
        <w:t xml:space="preserve">  </w:t>
      </w:r>
      <w:r>
        <w:rPr>
          <w:rFonts w:hint="eastAsia"/>
          <w:lang w:val="en-US" w:eastAsia="zh-CN"/>
        </w:rPr>
        <w:t xml:space="preserve"> 15913106941</w:t>
      </w:r>
      <w:r>
        <w:rPr>
          <w:rFonts w:hint="eastAsia"/>
        </w:rPr>
        <w:t xml:space="preserve">   </w:t>
      </w:r>
      <w:r>
        <w:rPr>
          <w:rFonts w:hint="eastAsia"/>
          <w:lang w:val="en-US" w:eastAsia="zh-CN"/>
        </w:rPr>
        <w:t xml:space="preserve"> zengrh@smbu.edu.cn</w:t>
      </w:r>
    </w:p>
    <w:p w14:paraId="2AEFF2DD">
      <w:pPr>
        <w:ind w:firstLine="1540" w:firstLineChars="700"/>
        <w:jc w:val="both"/>
        <w:rPr>
          <w:rFonts w:hint="eastAsia"/>
        </w:rPr>
      </w:pPr>
      <w:r>
        <w:rPr>
          <w:rFonts w:hint="eastAsia"/>
          <w:lang w:val="en-US" w:eastAsia="zh-CN"/>
        </w:rPr>
        <w:t>余梓彤</w:t>
      </w:r>
      <w:r>
        <w:rPr>
          <w:rFonts w:hint="eastAsia"/>
        </w:rPr>
        <w:t xml:space="preserve">  </w:t>
      </w:r>
      <w:r>
        <w:rPr>
          <w:rFonts w:hint="eastAsia"/>
          <w:lang w:val="en-US" w:eastAsia="zh-CN"/>
        </w:rPr>
        <w:t xml:space="preserve"> 15989031572    yuzitong@gbu.edu.cn</w:t>
      </w:r>
      <w:r>
        <w:rPr>
          <w:rFonts w:hint="eastAsia"/>
        </w:rPr>
        <w:t xml:space="preserve">  </w:t>
      </w:r>
    </w:p>
    <w:p w14:paraId="75EE3DBF">
      <w:pPr>
        <w:pBdr>
          <w:bottom w:val="single" w:color="auto" w:sz="4" w:space="0"/>
        </w:pBdr>
        <w:jc w:val="both"/>
        <w:rPr>
          <w:rFonts w:hint="eastAsia"/>
          <w:lang w:val="en-US" w:eastAsia="zh-CN"/>
        </w:rPr>
      </w:pPr>
    </w:p>
    <w:p w14:paraId="1082661E">
      <w:pPr>
        <w:rPr>
          <w:rFonts w:hint="default"/>
          <w:lang w:val="en-US" w:eastAsia="zh-CN"/>
        </w:rPr>
      </w:pPr>
      <w:r>
        <w:rPr>
          <w:rFonts w:hint="eastAsia"/>
          <w:b/>
          <w:bCs/>
          <w:color w:val="0070C0"/>
          <w:sz w:val="28"/>
          <w:szCs w:val="28"/>
          <w:lang w:val="en-US" w:eastAsia="zh-CN"/>
        </w:rPr>
        <w:t>二</w:t>
      </w:r>
      <w:r>
        <w:rPr>
          <w:rFonts w:hint="eastAsia"/>
          <w:b/>
          <w:bCs/>
          <w:color w:val="0070C0"/>
          <w:sz w:val="28"/>
          <w:szCs w:val="28"/>
        </w:rPr>
        <w:t>、</w:t>
      </w:r>
      <w:r>
        <w:rPr>
          <w:rFonts w:hint="eastAsia"/>
          <w:b/>
          <w:bCs/>
          <w:color w:val="0070C0"/>
          <w:sz w:val="28"/>
          <w:szCs w:val="28"/>
          <w:lang w:val="en-US" w:eastAsia="zh-CN"/>
        </w:rPr>
        <w:t>大会流程</w:t>
      </w:r>
      <w:r>
        <w:rPr>
          <w:rFonts w:hint="eastAsia"/>
          <w:sz w:val="28"/>
          <w:szCs w:val="28"/>
        </w:rPr>
        <w:t>：</w:t>
      </w:r>
    </w:p>
    <w:tbl>
      <w:tblPr>
        <w:tblStyle w:val="17"/>
        <w:tblW w:w="862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5250"/>
        <w:gridCol w:w="1750"/>
      </w:tblGrid>
      <w:tr w14:paraId="3924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8625" w:type="dxa"/>
            <w:gridSpan w:val="3"/>
            <w:shd w:val="clear" w:color="auto" w:fill="D8D8D8" w:themeFill="background1" w:themeFillShade="D9"/>
            <w:vAlign w:val="center"/>
          </w:tcPr>
          <w:p w14:paraId="3DA1F2C1">
            <w:pPr>
              <w:adjustRightInd w:val="0"/>
              <w:snapToGrid w:val="0"/>
              <w:jc w:val="center"/>
              <w:rPr>
                <w:rFonts w:hint="default" w:ascii="Times New Roman" w:hAnsi="Times New Roman" w:eastAsia="黑体" w:cs="Times New Roman"/>
                <w:b/>
                <w:bCs/>
                <w:sz w:val="28"/>
                <w:szCs w:val="28"/>
                <w:lang w:val="en-US" w:eastAsia="zh-CN"/>
              </w:rPr>
            </w:pPr>
            <w:r>
              <w:rPr>
                <w:rFonts w:ascii="Times New Roman" w:hAnsi="Times New Roman" w:eastAsia="黑体" w:cs="Times New Roman"/>
                <w:b/>
                <w:bCs/>
                <w:sz w:val="28"/>
                <w:szCs w:val="28"/>
              </w:rPr>
              <w:t>专委会</w:t>
            </w:r>
            <w:r>
              <w:rPr>
                <w:rFonts w:hint="eastAsia" w:ascii="Times New Roman" w:hAnsi="Times New Roman" w:eastAsia="黑体" w:cs="Times New Roman"/>
                <w:b/>
                <w:bCs/>
                <w:sz w:val="28"/>
                <w:szCs w:val="28"/>
                <w:lang w:val="en-US" w:eastAsia="zh-CN"/>
              </w:rPr>
              <w:t>成立大会</w:t>
            </w:r>
          </w:p>
          <w:p w14:paraId="573610BF">
            <w:pPr>
              <w:adjustRightInd w:val="0"/>
              <w:snapToGrid w:val="0"/>
              <w:jc w:val="center"/>
              <w:rPr>
                <w:rFonts w:ascii="Times New Roman" w:hAnsi="Times New Roman" w:eastAsia="黑体" w:cs="Times New Roman"/>
                <w:sz w:val="24"/>
              </w:rPr>
            </w:pPr>
            <w:r>
              <w:rPr>
                <w:rFonts w:ascii="Times New Roman" w:hAnsi="Times New Roman" w:eastAsia="黑体" w:cs="Times New Roman"/>
                <w:sz w:val="24"/>
              </w:rPr>
              <w:t>（14:</w:t>
            </w:r>
            <w:r>
              <w:rPr>
                <w:rFonts w:hint="eastAsia" w:ascii="Times New Roman" w:hAnsi="Times New Roman" w:eastAsia="黑体" w:cs="Times New Roman"/>
                <w:sz w:val="24"/>
                <w:lang w:val="en-US" w:eastAsia="zh-CN"/>
              </w:rPr>
              <w:t>0</w:t>
            </w:r>
            <w:r>
              <w:rPr>
                <w:rFonts w:ascii="Times New Roman" w:hAnsi="Times New Roman" w:eastAsia="黑体" w:cs="Times New Roman"/>
                <w:sz w:val="24"/>
              </w:rPr>
              <w:t>0-15</w:t>
            </w:r>
            <w:r>
              <w:rPr>
                <w:rFonts w:hint="eastAsia" w:ascii="Times New Roman" w:hAnsi="Times New Roman" w:eastAsia="黑体" w:cs="Times New Roman"/>
                <w:sz w:val="24"/>
              </w:rPr>
              <w:t>:</w:t>
            </w:r>
            <w:r>
              <w:rPr>
                <w:rFonts w:ascii="Times New Roman" w:hAnsi="Times New Roman" w:eastAsia="黑体" w:cs="Times New Roman"/>
                <w:sz w:val="24"/>
              </w:rPr>
              <w:t>40</w:t>
            </w:r>
            <w:r>
              <w:rPr>
                <w:rFonts w:hint="eastAsia" w:ascii="Times New Roman" w:hAnsi="Times New Roman" w:eastAsia="黑体" w:cs="Times New Roman"/>
                <w:sz w:val="24"/>
              </w:rPr>
              <w:t>，教学楼B206报告厅，</w:t>
            </w:r>
            <w:r>
              <w:rPr>
                <w:rFonts w:ascii="Times New Roman" w:hAnsi="Times New Roman" w:eastAsia="黑体" w:cs="Times New Roman"/>
                <w:sz w:val="24"/>
              </w:rPr>
              <w:t>全体委员候选人参加）</w:t>
            </w:r>
          </w:p>
        </w:tc>
      </w:tr>
      <w:tr w14:paraId="63AD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0CA9255E">
            <w:pPr>
              <w:jc w:val="center"/>
              <w:rPr>
                <w:rFonts w:ascii="Times New Roman" w:hAnsi="Times New Roman" w:eastAsia="宋体" w:cs="Times New Roman"/>
                <w:b/>
                <w:bCs/>
                <w:sz w:val="24"/>
              </w:rPr>
            </w:pPr>
            <w:r>
              <w:rPr>
                <w:rFonts w:ascii="Times New Roman" w:hAnsi="Times New Roman" w:eastAsia="宋体" w:cs="Times New Roman"/>
                <w:b/>
                <w:bCs/>
                <w:sz w:val="24"/>
              </w:rPr>
              <w:t>时间</w:t>
            </w:r>
          </w:p>
        </w:tc>
        <w:tc>
          <w:tcPr>
            <w:tcW w:w="5250" w:type="dxa"/>
            <w:vAlign w:val="center"/>
          </w:tcPr>
          <w:p w14:paraId="0A59C7BD">
            <w:pPr>
              <w:jc w:val="center"/>
              <w:rPr>
                <w:rFonts w:ascii="Times New Roman" w:hAnsi="Times New Roman" w:eastAsia="宋体" w:cs="Times New Roman"/>
                <w:b/>
                <w:bCs/>
                <w:sz w:val="24"/>
              </w:rPr>
            </w:pPr>
            <w:r>
              <w:rPr>
                <w:rFonts w:ascii="Times New Roman" w:hAnsi="Times New Roman" w:eastAsia="宋体" w:cs="Times New Roman"/>
                <w:b/>
                <w:bCs/>
                <w:sz w:val="24"/>
              </w:rPr>
              <w:t>内容</w:t>
            </w:r>
          </w:p>
        </w:tc>
        <w:tc>
          <w:tcPr>
            <w:tcW w:w="1750" w:type="dxa"/>
            <w:vAlign w:val="center"/>
          </w:tcPr>
          <w:p w14:paraId="7D19FF9D">
            <w:pPr>
              <w:jc w:val="center"/>
              <w:rPr>
                <w:rFonts w:ascii="Times New Roman" w:hAnsi="Times New Roman" w:eastAsia="宋体" w:cs="Times New Roman"/>
                <w:b/>
                <w:bCs/>
                <w:sz w:val="24"/>
              </w:rPr>
            </w:pPr>
            <w:r>
              <w:rPr>
                <w:rFonts w:ascii="Times New Roman" w:hAnsi="Times New Roman" w:eastAsia="宋体" w:cs="Times New Roman"/>
                <w:b/>
                <w:bCs/>
                <w:sz w:val="24"/>
              </w:rPr>
              <w:t>主持人/主讲人</w:t>
            </w:r>
          </w:p>
        </w:tc>
      </w:tr>
      <w:tr w14:paraId="007D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27525D51">
            <w:pPr>
              <w:jc w:val="center"/>
              <w:rPr>
                <w:rFonts w:hint="default" w:ascii="Times New Roman" w:hAnsi="Times New Roman" w:eastAsia="宋体" w:cs="Times New Roman"/>
                <w:sz w:val="24"/>
                <w:lang w:val="en-US" w:eastAsia="zh-CN"/>
              </w:rPr>
            </w:pPr>
            <w:r>
              <w:rPr>
                <w:rFonts w:ascii="Times New Roman" w:hAnsi="Times New Roman" w:eastAsia="宋体" w:cs="Times New Roman"/>
                <w:sz w:val="24"/>
              </w:rPr>
              <w:t>14:</w:t>
            </w:r>
            <w:r>
              <w:rPr>
                <w:rFonts w:hint="eastAsia" w:ascii="Times New Roman" w:hAnsi="Times New Roman" w:eastAsia="宋体" w:cs="Times New Roman"/>
                <w:sz w:val="24"/>
                <w:lang w:val="en-US" w:eastAsia="zh-CN"/>
              </w:rPr>
              <w:t>00</w:t>
            </w:r>
            <w:r>
              <w:rPr>
                <w:rFonts w:ascii="Times New Roman" w:hAnsi="Times New Roman" w:eastAsia="宋体" w:cs="Times New Roman"/>
                <w:sz w:val="24"/>
              </w:rPr>
              <w:t>-14:</w:t>
            </w:r>
            <w:r>
              <w:rPr>
                <w:rFonts w:hint="eastAsia" w:ascii="Times New Roman" w:hAnsi="Times New Roman" w:eastAsia="宋体" w:cs="Times New Roman"/>
                <w:sz w:val="24"/>
                <w:lang w:val="en-US" w:eastAsia="zh-CN"/>
              </w:rPr>
              <w:t>10</w:t>
            </w:r>
          </w:p>
        </w:tc>
        <w:tc>
          <w:tcPr>
            <w:tcW w:w="5250" w:type="dxa"/>
            <w:vAlign w:val="center"/>
          </w:tcPr>
          <w:p w14:paraId="1E05E087">
            <w:pPr>
              <w:jc w:val="center"/>
              <w:rPr>
                <w:rFonts w:hint="default" w:ascii="Times New Roman" w:hAnsi="Times New Roman" w:eastAsia="宋体" w:cs="Times New Roman"/>
                <w:sz w:val="24"/>
                <w:lang w:val="en-US" w:eastAsia="zh-CN"/>
              </w:rPr>
            </w:pPr>
            <w:r>
              <w:rPr>
                <w:rFonts w:ascii="Times New Roman" w:hAnsi="Times New Roman" w:eastAsia="宋体" w:cs="Times New Roman"/>
                <w:sz w:val="24"/>
              </w:rPr>
              <w:t>介绍出席会议领导和嘉宾</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学校领导致辞</w:t>
            </w:r>
          </w:p>
        </w:tc>
        <w:tc>
          <w:tcPr>
            <w:tcW w:w="1750" w:type="dxa"/>
            <w:vAlign w:val="center"/>
          </w:tcPr>
          <w:p w14:paraId="48A1B9BC">
            <w:pPr>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余梓彤</w:t>
            </w:r>
          </w:p>
        </w:tc>
      </w:tr>
      <w:tr w14:paraId="3774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4A82FDA2">
            <w:pPr>
              <w:jc w:val="center"/>
              <w:rPr>
                <w:rFonts w:hint="default" w:ascii="Times New Roman" w:hAnsi="Times New Roman" w:eastAsia="宋体" w:cs="Times New Roman"/>
                <w:sz w:val="24"/>
                <w:lang w:val="en-US" w:eastAsia="zh-CN"/>
              </w:rPr>
            </w:pPr>
            <w:r>
              <w:rPr>
                <w:rFonts w:ascii="Times New Roman" w:hAnsi="Times New Roman" w:eastAsia="宋体" w:cs="Times New Roman"/>
                <w:sz w:val="24"/>
              </w:rPr>
              <w:t>14:</w:t>
            </w:r>
            <w:r>
              <w:rPr>
                <w:rFonts w:hint="eastAsia" w:ascii="Times New Roman" w:hAnsi="Times New Roman" w:eastAsia="宋体" w:cs="Times New Roman"/>
                <w:sz w:val="24"/>
                <w:lang w:val="en-US" w:eastAsia="zh-CN"/>
              </w:rPr>
              <w:t>10</w:t>
            </w:r>
            <w:r>
              <w:rPr>
                <w:rFonts w:ascii="Times New Roman" w:hAnsi="Times New Roman" w:eastAsia="宋体" w:cs="Times New Roman"/>
                <w:sz w:val="24"/>
              </w:rPr>
              <w:t>-14:</w:t>
            </w:r>
            <w:r>
              <w:rPr>
                <w:rFonts w:hint="eastAsia" w:ascii="Times New Roman" w:hAnsi="Times New Roman" w:eastAsia="宋体" w:cs="Times New Roman"/>
                <w:sz w:val="24"/>
                <w:lang w:val="en-US" w:eastAsia="zh-CN"/>
              </w:rPr>
              <w:t>25</w:t>
            </w:r>
          </w:p>
        </w:tc>
        <w:tc>
          <w:tcPr>
            <w:tcW w:w="5250" w:type="dxa"/>
            <w:vAlign w:val="center"/>
          </w:tcPr>
          <w:p w14:paraId="0D1C7808">
            <w:pPr>
              <w:jc w:val="center"/>
              <w:rPr>
                <w:rFonts w:ascii="Times New Roman" w:hAnsi="Times New Roman" w:eastAsia="宋体" w:cs="Times New Roman"/>
                <w:sz w:val="24"/>
              </w:rPr>
            </w:pPr>
            <w:r>
              <w:rPr>
                <w:rFonts w:ascii="Times New Roman" w:hAnsi="Times New Roman" w:eastAsia="宋体" w:cs="Times New Roman"/>
                <w:sz w:val="24"/>
              </w:rPr>
              <w:t>专委会筹建工作报告</w:t>
            </w:r>
          </w:p>
        </w:tc>
        <w:tc>
          <w:tcPr>
            <w:tcW w:w="1750" w:type="dxa"/>
            <w:vAlign w:val="center"/>
          </w:tcPr>
          <w:p w14:paraId="75CF600A">
            <w:pPr>
              <w:jc w:val="center"/>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zh-CN"/>
              </w:rPr>
              <w:t>余梓彤</w:t>
            </w:r>
          </w:p>
        </w:tc>
      </w:tr>
      <w:tr w14:paraId="7ED6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70E43B32">
            <w:pPr>
              <w:jc w:val="center"/>
              <w:rPr>
                <w:rFonts w:hint="default" w:ascii="Times New Roman" w:hAnsi="Times New Roman" w:eastAsia="宋体" w:cs="Times New Roman"/>
                <w:sz w:val="24"/>
                <w:lang w:val="en-US" w:eastAsia="zh-CN"/>
              </w:rPr>
            </w:pPr>
            <w:r>
              <w:rPr>
                <w:rFonts w:ascii="Times New Roman" w:hAnsi="Times New Roman" w:eastAsia="宋体" w:cs="Times New Roman"/>
                <w:sz w:val="24"/>
              </w:rPr>
              <w:t>14:</w:t>
            </w:r>
            <w:r>
              <w:rPr>
                <w:rFonts w:hint="eastAsia" w:ascii="Times New Roman" w:hAnsi="Times New Roman" w:eastAsia="宋体" w:cs="Times New Roman"/>
                <w:sz w:val="24"/>
                <w:lang w:val="en-US" w:eastAsia="zh-CN"/>
              </w:rPr>
              <w:t>25</w:t>
            </w:r>
            <w:r>
              <w:rPr>
                <w:rFonts w:ascii="Times New Roman" w:hAnsi="Times New Roman" w:eastAsia="宋体" w:cs="Times New Roman"/>
                <w:sz w:val="24"/>
              </w:rPr>
              <w:t>-15:</w:t>
            </w:r>
            <w:r>
              <w:rPr>
                <w:rFonts w:hint="eastAsia" w:ascii="Times New Roman" w:hAnsi="Times New Roman" w:eastAsia="宋体" w:cs="Times New Roman"/>
                <w:sz w:val="24"/>
                <w:lang w:val="en-US" w:eastAsia="zh-CN"/>
              </w:rPr>
              <w:t>25</w:t>
            </w:r>
          </w:p>
        </w:tc>
        <w:tc>
          <w:tcPr>
            <w:tcW w:w="5250" w:type="dxa"/>
            <w:vAlign w:val="center"/>
          </w:tcPr>
          <w:p w14:paraId="65988D8B">
            <w:pPr>
              <w:jc w:val="center"/>
              <w:rPr>
                <w:rFonts w:ascii="Times New Roman" w:hAnsi="Times New Roman" w:eastAsia="宋体" w:cs="Times New Roman"/>
                <w:sz w:val="24"/>
              </w:rPr>
            </w:pPr>
            <w:r>
              <w:rPr>
                <w:rFonts w:ascii="Times New Roman" w:hAnsi="Times New Roman" w:eastAsia="宋体" w:cs="Times New Roman"/>
                <w:sz w:val="24"/>
              </w:rPr>
              <w:t>选举</w:t>
            </w:r>
            <w:r>
              <w:rPr>
                <w:rFonts w:hint="eastAsia" w:ascii="Times New Roman" w:hAnsi="Times New Roman" w:eastAsia="宋体" w:cs="Times New Roman"/>
                <w:sz w:val="24"/>
              </w:rPr>
              <w:t>首届执行委员</w:t>
            </w:r>
            <w:r>
              <w:rPr>
                <w:rFonts w:hint="eastAsia" w:ascii="Times New Roman" w:hAnsi="Times New Roman" w:eastAsia="宋体" w:cs="Times New Roman"/>
                <w:sz w:val="24"/>
                <w:lang w:val="en-US" w:eastAsia="zh-CN"/>
              </w:rPr>
              <w:t>，并选举</w:t>
            </w:r>
            <w:r>
              <w:rPr>
                <w:rFonts w:hint="eastAsia" w:ascii="Times New Roman" w:hAnsi="Times New Roman" w:eastAsia="宋体" w:cs="Times New Roman"/>
                <w:sz w:val="24"/>
              </w:rPr>
              <w:t>主任/副主任/秘书长</w:t>
            </w:r>
          </w:p>
        </w:tc>
        <w:tc>
          <w:tcPr>
            <w:tcW w:w="1750" w:type="dxa"/>
            <w:vAlign w:val="center"/>
          </w:tcPr>
          <w:p w14:paraId="607E2395">
            <w:pPr>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曾润浩</w:t>
            </w:r>
          </w:p>
        </w:tc>
      </w:tr>
      <w:tr w14:paraId="3648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7A63CB4E">
            <w:pPr>
              <w:jc w:val="center"/>
              <w:rPr>
                <w:rFonts w:hint="default" w:ascii="Times New Roman" w:hAnsi="Times New Roman" w:eastAsia="宋体" w:cs="Times New Roman"/>
                <w:sz w:val="24"/>
                <w:lang w:val="en-US" w:eastAsia="zh-CN"/>
              </w:rPr>
            </w:pPr>
            <w:r>
              <w:rPr>
                <w:rFonts w:ascii="Times New Roman" w:hAnsi="Times New Roman" w:eastAsia="宋体" w:cs="Times New Roman"/>
                <w:sz w:val="24"/>
              </w:rPr>
              <w:t>15:</w:t>
            </w:r>
            <w:r>
              <w:rPr>
                <w:rFonts w:hint="eastAsia" w:ascii="Times New Roman" w:hAnsi="Times New Roman" w:eastAsia="宋体" w:cs="Times New Roman"/>
                <w:sz w:val="24"/>
                <w:lang w:val="en-US" w:eastAsia="zh-CN"/>
              </w:rPr>
              <w:t>25</w:t>
            </w:r>
            <w:r>
              <w:rPr>
                <w:rFonts w:ascii="Times New Roman" w:hAnsi="Times New Roman" w:eastAsia="宋体" w:cs="Times New Roman"/>
                <w:sz w:val="24"/>
              </w:rPr>
              <w:t>-15:</w:t>
            </w:r>
            <w:r>
              <w:rPr>
                <w:rFonts w:hint="eastAsia" w:ascii="Times New Roman" w:hAnsi="Times New Roman" w:eastAsia="宋体" w:cs="Times New Roman"/>
                <w:sz w:val="24"/>
                <w:lang w:val="en-US" w:eastAsia="zh-CN"/>
              </w:rPr>
              <w:t>30</w:t>
            </w:r>
          </w:p>
        </w:tc>
        <w:tc>
          <w:tcPr>
            <w:tcW w:w="5250" w:type="dxa"/>
            <w:vAlign w:val="center"/>
          </w:tcPr>
          <w:p w14:paraId="7CA7C05A">
            <w:pPr>
              <w:jc w:val="center"/>
              <w:rPr>
                <w:rFonts w:ascii="Times New Roman" w:hAnsi="Times New Roman" w:eastAsia="宋体" w:cs="Times New Roman"/>
                <w:sz w:val="24"/>
              </w:rPr>
            </w:pPr>
            <w:r>
              <w:rPr>
                <w:rFonts w:ascii="Times New Roman" w:hAnsi="Times New Roman" w:eastAsia="宋体" w:cs="Times New Roman"/>
                <w:sz w:val="24"/>
              </w:rPr>
              <w:t>广东省图象图形学会领导讲话</w:t>
            </w:r>
          </w:p>
        </w:tc>
        <w:tc>
          <w:tcPr>
            <w:tcW w:w="1750" w:type="dxa"/>
            <w:vAlign w:val="center"/>
          </w:tcPr>
          <w:p w14:paraId="699578B4">
            <w:pPr>
              <w:jc w:val="center"/>
              <w:rPr>
                <w:rFonts w:ascii="Times New Roman" w:hAnsi="Times New Roman" w:eastAsia="宋体" w:cs="Times New Roman"/>
                <w:sz w:val="24"/>
              </w:rPr>
            </w:pPr>
            <w:r>
              <w:rPr>
                <w:rFonts w:ascii="Times New Roman" w:hAnsi="Times New Roman" w:eastAsia="宋体" w:cs="Times New Roman"/>
                <w:sz w:val="24"/>
              </w:rPr>
              <w:t>金连文</w:t>
            </w:r>
          </w:p>
        </w:tc>
      </w:tr>
      <w:tr w14:paraId="1D54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1DB98B39">
            <w:pPr>
              <w:jc w:val="center"/>
              <w:rPr>
                <w:rFonts w:hint="default" w:ascii="Times New Roman" w:hAnsi="Times New Roman" w:eastAsia="宋体" w:cs="Times New Roman"/>
                <w:sz w:val="24"/>
                <w:lang w:val="en-US" w:eastAsia="zh-CN"/>
              </w:rPr>
            </w:pPr>
            <w:r>
              <w:rPr>
                <w:rFonts w:ascii="Times New Roman" w:hAnsi="Times New Roman" w:eastAsia="宋体" w:cs="Times New Roman"/>
                <w:sz w:val="24"/>
              </w:rPr>
              <w:t>15:</w:t>
            </w:r>
            <w:r>
              <w:rPr>
                <w:rFonts w:hint="eastAsia" w:ascii="Times New Roman" w:hAnsi="Times New Roman" w:eastAsia="宋体" w:cs="Times New Roman"/>
                <w:sz w:val="24"/>
                <w:lang w:val="en-US" w:eastAsia="zh-CN"/>
              </w:rPr>
              <w:t>30</w:t>
            </w:r>
            <w:r>
              <w:rPr>
                <w:rFonts w:ascii="Times New Roman" w:hAnsi="Times New Roman" w:eastAsia="宋体" w:cs="Times New Roman"/>
                <w:sz w:val="24"/>
              </w:rPr>
              <w:t>-15:</w:t>
            </w:r>
            <w:r>
              <w:rPr>
                <w:rFonts w:hint="eastAsia" w:ascii="Times New Roman" w:hAnsi="Times New Roman" w:eastAsia="宋体" w:cs="Times New Roman"/>
                <w:sz w:val="24"/>
                <w:lang w:val="en-US" w:eastAsia="zh-CN"/>
              </w:rPr>
              <w:t>40</w:t>
            </w:r>
          </w:p>
        </w:tc>
        <w:tc>
          <w:tcPr>
            <w:tcW w:w="5250" w:type="dxa"/>
            <w:vAlign w:val="center"/>
          </w:tcPr>
          <w:p w14:paraId="1C0386AC">
            <w:pPr>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合影、茶歇</w:t>
            </w:r>
          </w:p>
        </w:tc>
        <w:tc>
          <w:tcPr>
            <w:tcW w:w="1750" w:type="dxa"/>
            <w:vAlign w:val="center"/>
          </w:tcPr>
          <w:p w14:paraId="40C22020">
            <w:pPr>
              <w:jc w:val="center"/>
              <w:rPr>
                <w:rFonts w:ascii="Times New Roman" w:hAnsi="Times New Roman" w:eastAsia="宋体" w:cs="Times New Roman"/>
                <w:sz w:val="24"/>
              </w:rPr>
            </w:pPr>
            <w:r>
              <w:rPr>
                <w:rFonts w:ascii="Times New Roman" w:hAnsi="Times New Roman" w:eastAsia="宋体" w:cs="Times New Roman"/>
                <w:sz w:val="24"/>
              </w:rPr>
              <w:t>全体委员</w:t>
            </w:r>
          </w:p>
        </w:tc>
      </w:tr>
      <w:tr w14:paraId="1388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625" w:type="dxa"/>
            <w:gridSpan w:val="3"/>
            <w:shd w:val="clear" w:color="auto" w:fill="D8D8D8" w:themeFill="background1" w:themeFillShade="D9"/>
            <w:vAlign w:val="center"/>
          </w:tcPr>
          <w:p w14:paraId="1B5DB2F9">
            <w:pPr>
              <w:adjustRightInd w:val="0"/>
              <w:snapToGrid w:val="0"/>
              <w:jc w:val="center"/>
              <w:rPr>
                <w:rFonts w:ascii="Times New Roman" w:hAnsi="Times New Roman" w:eastAsia="黑体" w:cs="Times New Roman"/>
                <w:b/>
                <w:bCs/>
                <w:sz w:val="28"/>
                <w:szCs w:val="28"/>
              </w:rPr>
            </w:pPr>
            <w:r>
              <w:rPr>
                <w:rFonts w:ascii="Times New Roman" w:hAnsi="Times New Roman" w:eastAsia="黑体" w:cs="Times New Roman"/>
                <w:b/>
                <w:bCs/>
                <w:sz w:val="28"/>
                <w:szCs w:val="28"/>
              </w:rPr>
              <w:t>学术会议</w:t>
            </w:r>
          </w:p>
          <w:p w14:paraId="0B974C1B">
            <w:pPr>
              <w:adjustRightInd w:val="0"/>
              <w:snapToGrid w:val="0"/>
              <w:jc w:val="center"/>
              <w:rPr>
                <w:rFonts w:ascii="Times New Roman" w:hAnsi="Times New Roman" w:eastAsia="宋体" w:cs="Times New Roman"/>
                <w:sz w:val="24"/>
              </w:rPr>
            </w:pPr>
            <w:r>
              <w:rPr>
                <w:rFonts w:ascii="Times New Roman" w:hAnsi="Times New Roman" w:eastAsia="黑体" w:cs="Times New Roman"/>
                <w:sz w:val="24"/>
              </w:rPr>
              <w:t>（1</w:t>
            </w:r>
            <w:r>
              <w:rPr>
                <w:rFonts w:hint="eastAsia" w:ascii="Times New Roman" w:hAnsi="Times New Roman" w:eastAsia="黑体" w:cs="Times New Roman"/>
                <w:sz w:val="24"/>
                <w:lang w:val="en-US" w:eastAsia="zh-CN"/>
              </w:rPr>
              <w:t>5</w:t>
            </w:r>
            <w:r>
              <w:rPr>
                <w:rFonts w:ascii="Times New Roman" w:hAnsi="Times New Roman" w:eastAsia="黑体" w:cs="Times New Roman"/>
                <w:sz w:val="24"/>
              </w:rPr>
              <w:t>:</w:t>
            </w:r>
            <w:r>
              <w:rPr>
                <w:rFonts w:hint="eastAsia" w:ascii="Times New Roman" w:hAnsi="Times New Roman" w:eastAsia="黑体" w:cs="Times New Roman"/>
                <w:sz w:val="24"/>
                <w:lang w:val="en-US" w:eastAsia="zh-CN"/>
              </w:rPr>
              <w:t>4</w:t>
            </w:r>
            <w:r>
              <w:rPr>
                <w:rFonts w:ascii="Times New Roman" w:hAnsi="Times New Roman" w:eastAsia="黑体" w:cs="Times New Roman"/>
                <w:sz w:val="24"/>
              </w:rPr>
              <w:t>0-18:00</w:t>
            </w:r>
            <w:r>
              <w:rPr>
                <w:rFonts w:hint="eastAsia" w:ascii="Times New Roman" w:hAnsi="Times New Roman" w:eastAsia="黑体" w:cs="Times New Roman"/>
                <w:sz w:val="24"/>
              </w:rPr>
              <w:t>，教学楼B206报告厅，</w:t>
            </w:r>
            <w:r>
              <w:rPr>
                <w:rFonts w:ascii="Times New Roman" w:hAnsi="Times New Roman" w:eastAsia="黑体" w:cs="Times New Roman"/>
                <w:sz w:val="24"/>
              </w:rPr>
              <w:t>会议主持：</w:t>
            </w:r>
            <w:r>
              <w:rPr>
                <w:rFonts w:hint="eastAsia" w:ascii="Times New Roman" w:hAnsi="Times New Roman" w:eastAsia="黑体" w:cs="Times New Roman"/>
                <w:sz w:val="24"/>
                <w:lang w:val="en-US" w:eastAsia="zh-CN"/>
              </w:rPr>
              <w:t>彭小江、青春美</w:t>
            </w:r>
            <w:r>
              <w:rPr>
                <w:rFonts w:ascii="Times New Roman" w:hAnsi="Times New Roman" w:eastAsia="黑体" w:cs="Times New Roman"/>
                <w:sz w:val="24"/>
              </w:rPr>
              <w:t>）</w:t>
            </w:r>
          </w:p>
        </w:tc>
      </w:tr>
      <w:tr w14:paraId="0E24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218CD8B5">
            <w:pPr>
              <w:jc w:val="center"/>
              <w:rPr>
                <w:rFonts w:ascii="Times New Roman" w:hAnsi="Times New Roman" w:eastAsia="宋体" w:cs="Times New Roman"/>
                <w:b/>
                <w:bCs/>
                <w:sz w:val="24"/>
              </w:rPr>
            </w:pPr>
            <w:r>
              <w:rPr>
                <w:rFonts w:ascii="Times New Roman" w:hAnsi="Times New Roman" w:eastAsia="宋体" w:cs="Times New Roman"/>
                <w:b/>
                <w:bCs/>
                <w:sz w:val="24"/>
              </w:rPr>
              <w:t>时间</w:t>
            </w:r>
          </w:p>
        </w:tc>
        <w:tc>
          <w:tcPr>
            <w:tcW w:w="5250" w:type="dxa"/>
            <w:vAlign w:val="center"/>
          </w:tcPr>
          <w:p w14:paraId="00C8A089">
            <w:pPr>
              <w:jc w:val="center"/>
              <w:rPr>
                <w:rFonts w:ascii="Times New Roman" w:hAnsi="Times New Roman" w:eastAsia="宋体" w:cs="Times New Roman"/>
                <w:b/>
                <w:bCs/>
                <w:sz w:val="24"/>
              </w:rPr>
            </w:pPr>
            <w:r>
              <w:rPr>
                <w:rFonts w:ascii="Times New Roman" w:hAnsi="Times New Roman" w:eastAsia="宋体" w:cs="Times New Roman"/>
                <w:b/>
                <w:bCs/>
                <w:sz w:val="24"/>
              </w:rPr>
              <w:t>内容</w:t>
            </w:r>
          </w:p>
        </w:tc>
        <w:tc>
          <w:tcPr>
            <w:tcW w:w="1750" w:type="dxa"/>
            <w:vAlign w:val="center"/>
          </w:tcPr>
          <w:p w14:paraId="0C972934">
            <w:pPr>
              <w:jc w:val="center"/>
              <w:rPr>
                <w:rFonts w:ascii="Times New Roman" w:hAnsi="Times New Roman" w:eastAsia="宋体" w:cs="Times New Roman"/>
                <w:b/>
                <w:bCs/>
                <w:sz w:val="24"/>
              </w:rPr>
            </w:pPr>
            <w:r>
              <w:rPr>
                <w:rFonts w:hint="eastAsia" w:ascii="Times New Roman" w:hAnsi="Times New Roman" w:eastAsia="宋体" w:cs="Times New Roman"/>
                <w:b/>
                <w:bCs/>
                <w:sz w:val="24"/>
              </w:rPr>
              <w:t>报告人</w:t>
            </w:r>
          </w:p>
        </w:tc>
      </w:tr>
      <w:tr w14:paraId="6A01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1625" w:type="dxa"/>
            <w:vAlign w:val="center"/>
          </w:tcPr>
          <w:p w14:paraId="5E1F2476">
            <w:pPr>
              <w:jc w:val="center"/>
              <w:rPr>
                <w:rFonts w:hint="default" w:ascii="Times New Roman" w:hAnsi="Times New Roman" w:eastAsia="宋体" w:cs="Times New Roman"/>
                <w:sz w:val="24"/>
                <w:lang w:val="en-US" w:eastAsia="zh-CN"/>
              </w:rPr>
            </w:pPr>
            <w:r>
              <w:rPr>
                <w:rFonts w:ascii="Times New Roman" w:hAnsi="Times New Roman" w:eastAsia="宋体" w:cs="Times New Roman"/>
                <w:sz w:val="24"/>
              </w:rPr>
              <w:t>1</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4</w:t>
            </w:r>
            <w:r>
              <w:rPr>
                <w:rFonts w:ascii="Times New Roman" w:hAnsi="Times New Roman" w:eastAsia="宋体" w:cs="Times New Roman"/>
                <w:sz w:val="24"/>
              </w:rPr>
              <w:t>0-</w:t>
            </w:r>
            <w:r>
              <w:rPr>
                <w:rFonts w:hint="eastAsia" w:ascii="Times New Roman" w:hAnsi="Times New Roman" w:eastAsia="宋体" w:cs="Times New Roman"/>
                <w:sz w:val="24"/>
                <w:lang w:val="en-US" w:eastAsia="zh-CN"/>
              </w:rPr>
              <w:t>16:00</w:t>
            </w:r>
          </w:p>
        </w:tc>
        <w:tc>
          <w:tcPr>
            <w:tcW w:w="5250" w:type="dxa"/>
            <w:vAlign w:val="center"/>
          </w:tcPr>
          <w:p w14:paraId="349424D9">
            <w:pPr>
              <w:jc w:val="center"/>
              <w:rPr>
                <w:rFonts w:ascii="Times New Roman" w:hAnsi="Times New Roman" w:eastAsia="宋体" w:cs="Times New Roman"/>
                <w:sz w:val="24"/>
              </w:rPr>
            </w:pPr>
            <w:r>
              <w:rPr>
                <w:rFonts w:hint="eastAsia" w:ascii="Times New Roman" w:hAnsi="Times New Roman" w:eastAsia="宋体" w:cs="Times New Roman"/>
                <w:sz w:val="24"/>
              </w:rPr>
              <w:t>AIGC时代的文档图像安全：从像素感知到可解释大模型语义分析</w:t>
            </w:r>
          </w:p>
        </w:tc>
        <w:tc>
          <w:tcPr>
            <w:tcW w:w="1750" w:type="dxa"/>
            <w:vAlign w:val="center"/>
          </w:tcPr>
          <w:p w14:paraId="1E508F25">
            <w:pPr>
              <w:jc w:val="center"/>
              <w:rPr>
                <w:rFonts w:ascii="Times New Roman" w:hAnsi="Times New Roman" w:eastAsia="宋体" w:cs="Times New Roman"/>
                <w:sz w:val="24"/>
              </w:rPr>
            </w:pPr>
            <w:r>
              <w:rPr>
                <w:rFonts w:ascii="Times New Roman" w:hAnsi="Times New Roman" w:eastAsia="宋体" w:cs="Times New Roman"/>
                <w:sz w:val="24"/>
              </w:rPr>
              <w:t>金连文</w:t>
            </w:r>
          </w:p>
        </w:tc>
      </w:tr>
      <w:tr w14:paraId="1AE6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2A7B322C">
            <w:pPr>
              <w:jc w:val="center"/>
              <w:rPr>
                <w:rFonts w:ascii="Times New Roman" w:hAnsi="Times New Roman" w:eastAsia="宋体" w:cs="Times New Roman"/>
                <w:sz w:val="24"/>
              </w:rPr>
            </w:pPr>
            <w:r>
              <w:rPr>
                <w:rFonts w:ascii="Times New Roman" w:hAnsi="Times New Roman" w:eastAsia="宋体" w:cs="Times New Roman"/>
                <w:sz w:val="24"/>
              </w:rPr>
              <w:t>16:</w:t>
            </w:r>
            <w:r>
              <w:rPr>
                <w:rFonts w:hint="eastAsia" w:ascii="Times New Roman" w:hAnsi="Times New Roman" w:eastAsia="宋体" w:cs="Times New Roman"/>
                <w:sz w:val="24"/>
                <w:lang w:val="en-US" w:eastAsia="zh-CN"/>
              </w:rPr>
              <w:t>0</w:t>
            </w:r>
            <w:r>
              <w:rPr>
                <w:rFonts w:ascii="Times New Roman" w:hAnsi="Times New Roman" w:eastAsia="宋体" w:cs="Times New Roman"/>
                <w:sz w:val="24"/>
              </w:rPr>
              <w:t>0-1</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ascii="Times New Roman" w:hAnsi="Times New Roman" w:eastAsia="宋体" w:cs="Times New Roman"/>
                <w:sz w:val="24"/>
              </w:rPr>
              <w:t>0</w:t>
            </w:r>
          </w:p>
        </w:tc>
        <w:tc>
          <w:tcPr>
            <w:tcW w:w="5250" w:type="dxa"/>
            <w:vAlign w:val="center"/>
          </w:tcPr>
          <w:p w14:paraId="11874E74">
            <w:pPr>
              <w:jc w:val="center"/>
              <w:rPr>
                <w:rFonts w:ascii="Times New Roman" w:hAnsi="Times New Roman" w:eastAsia="宋体" w:cs="Times New Roman"/>
                <w:sz w:val="24"/>
              </w:rPr>
            </w:pPr>
            <w:r>
              <w:rPr>
                <w:rFonts w:hint="eastAsia" w:ascii="Times New Roman" w:hAnsi="Times New Roman" w:eastAsia="宋体" w:cs="Times New Roman"/>
                <w:sz w:val="24"/>
              </w:rPr>
              <w:t>标签稀缺条件下的视频情感解绎与度量</w:t>
            </w:r>
            <w:r>
              <w:rPr>
                <w:rFonts w:ascii="Times New Roman" w:hAnsi="Times New Roman" w:eastAsia="宋体" w:cs="Times New Roman"/>
                <w:sz w:val="24"/>
              </w:rPr>
              <w:t xml:space="preserve"> </w:t>
            </w:r>
          </w:p>
        </w:tc>
        <w:tc>
          <w:tcPr>
            <w:tcW w:w="1750" w:type="dxa"/>
            <w:vAlign w:val="center"/>
          </w:tcPr>
          <w:p w14:paraId="4DDEF56A">
            <w:pPr>
              <w:jc w:val="center"/>
              <w:rPr>
                <w:rFonts w:ascii="Times New Roman" w:hAnsi="Times New Roman" w:eastAsia="宋体" w:cs="Times New Roman"/>
                <w:sz w:val="24"/>
              </w:rPr>
            </w:pPr>
            <w:r>
              <w:rPr>
                <w:rFonts w:hint="eastAsia" w:ascii="Times New Roman" w:hAnsi="Times New Roman" w:eastAsia="宋体" w:cs="Times New Roman"/>
                <w:sz w:val="24"/>
              </w:rPr>
              <w:t>杨巨峰</w:t>
            </w:r>
          </w:p>
        </w:tc>
      </w:tr>
      <w:tr w14:paraId="2E97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625" w:type="dxa"/>
            <w:vAlign w:val="center"/>
          </w:tcPr>
          <w:p w14:paraId="241B5601">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ascii="Times New Roman" w:hAnsi="Times New Roman" w:eastAsia="宋体" w:cs="Times New Roman"/>
                <w:sz w:val="24"/>
              </w:rPr>
              <w:t>0-1</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4</w:t>
            </w:r>
            <w:r>
              <w:rPr>
                <w:rFonts w:ascii="Times New Roman" w:hAnsi="Times New Roman" w:eastAsia="宋体" w:cs="Times New Roman"/>
                <w:sz w:val="24"/>
              </w:rPr>
              <w:t>0</w:t>
            </w:r>
          </w:p>
        </w:tc>
        <w:tc>
          <w:tcPr>
            <w:tcW w:w="5250" w:type="dxa"/>
            <w:vAlign w:val="center"/>
          </w:tcPr>
          <w:p w14:paraId="59E0C5E8">
            <w:pPr>
              <w:jc w:val="center"/>
              <w:rPr>
                <w:rFonts w:ascii="Times New Roman" w:hAnsi="Times New Roman" w:eastAsia="宋体" w:cs="Times New Roman"/>
                <w:sz w:val="24"/>
              </w:rPr>
            </w:pPr>
            <w:r>
              <w:rPr>
                <w:rFonts w:hint="eastAsia" w:ascii="Times New Roman" w:hAnsi="Times New Roman" w:eastAsia="宋体" w:cs="Times New Roman"/>
                <w:sz w:val="24"/>
              </w:rPr>
              <w:t>连续学习与智能体技术在情感计算领域的尝试</w:t>
            </w:r>
          </w:p>
        </w:tc>
        <w:tc>
          <w:tcPr>
            <w:tcW w:w="1750" w:type="dxa"/>
            <w:vAlign w:val="center"/>
          </w:tcPr>
          <w:p w14:paraId="35E78C0B">
            <w:pPr>
              <w:jc w:val="center"/>
              <w:rPr>
                <w:rFonts w:ascii="Times New Roman" w:hAnsi="Times New Roman" w:eastAsia="宋体" w:cs="Times New Roman"/>
                <w:sz w:val="24"/>
              </w:rPr>
            </w:pPr>
            <w:r>
              <w:rPr>
                <w:rFonts w:hint="eastAsia" w:ascii="Times New Roman" w:hAnsi="Times New Roman" w:eastAsia="宋体" w:cs="Times New Roman"/>
                <w:sz w:val="24"/>
              </w:rPr>
              <w:t>洪晓鹏</w:t>
            </w:r>
          </w:p>
        </w:tc>
      </w:tr>
      <w:tr w14:paraId="1576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1625" w:type="dxa"/>
            <w:vAlign w:val="center"/>
          </w:tcPr>
          <w:p w14:paraId="1A0A54A6">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lang w:val="en-US" w:eastAsia="zh-CN"/>
              </w:rPr>
              <w:t>6</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4</w:t>
            </w:r>
            <w:r>
              <w:rPr>
                <w:rFonts w:ascii="Times New Roman" w:hAnsi="Times New Roman" w:eastAsia="宋体" w:cs="Times New Roman"/>
                <w:sz w:val="24"/>
              </w:rPr>
              <w:t>0-17:</w:t>
            </w:r>
            <w:r>
              <w:rPr>
                <w:rFonts w:hint="eastAsia" w:ascii="Times New Roman" w:hAnsi="Times New Roman" w:eastAsia="宋体" w:cs="Times New Roman"/>
                <w:sz w:val="24"/>
                <w:lang w:val="en-US" w:eastAsia="zh-CN"/>
              </w:rPr>
              <w:t>0</w:t>
            </w:r>
            <w:r>
              <w:rPr>
                <w:rFonts w:ascii="Times New Roman" w:hAnsi="Times New Roman" w:eastAsia="宋体" w:cs="Times New Roman"/>
                <w:sz w:val="24"/>
              </w:rPr>
              <w:t>0</w:t>
            </w:r>
          </w:p>
        </w:tc>
        <w:tc>
          <w:tcPr>
            <w:tcW w:w="5250" w:type="dxa"/>
            <w:vAlign w:val="center"/>
          </w:tcPr>
          <w:p w14:paraId="21AB501D">
            <w:pPr>
              <w:jc w:val="center"/>
              <w:rPr>
                <w:rFonts w:ascii="Times New Roman" w:hAnsi="Times New Roman" w:eastAsia="宋体" w:cs="Times New Roman"/>
                <w:sz w:val="24"/>
              </w:rPr>
            </w:pPr>
            <w:r>
              <w:rPr>
                <w:rFonts w:hint="eastAsia" w:ascii="Times New Roman" w:hAnsi="Times New Roman" w:eastAsia="宋体" w:cs="Times New Roman"/>
                <w:sz w:val="24"/>
              </w:rPr>
              <w:t>基于情感计算的抑郁筛查干预：技术进步与落地应用</w:t>
            </w:r>
          </w:p>
        </w:tc>
        <w:tc>
          <w:tcPr>
            <w:tcW w:w="1750" w:type="dxa"/>
            <w:vAlign w:val="center"/>
          </w:tcPr>
          <w:p w14:paraId="783FCFD0">
            <w:pPr>
              <w:jc w:val="center"/>
              <w:rPr>
                <w:rFonts w:ascii="Times New Roman" w:hAnsi="Times New Roman" w:eastAsia="宋体" w:cs="Times New Roman"/>
                <w:sz w:val="24"/>
              </w:rPr>
            </w:pPr>
            <w:r>
              <w:rPr>
                <w:rFonts w:hint="eastAsia" w:ascii="Times New Roman" w:hAnsi="Times New Roman" w:eastAsia="宋体" w:cs="Times New Roman"/>
                <w:sz w:val="24"/>
              </w:rPr>
              <w:t>张治国</w:t>
            </w:r>
          </w:p>
        </w:tc>
      </w:tr>
      <w:tr w14:paraId="2EC1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exact"/>
        </w:trPr>
        <w:tc>
          <w:tcPr>
            <w:tcW w:w="1625" w:type="dxa"/>
            <w:vAlign w:val="center"/>
          </w:tcPr>
          <w:p w14:paraId="1F9DC54A">
            <w:pPr>
              <w:jc w:val="center"/>
              <w:rPr>
                <w:rFonts w:ascii="Times New Roman" w:hAnsi="Times New Roman" w:eastAsia="宋体" w:cs="Times New Roman"/>
                <w:sz w:val="24"/>
              </w:rPr>
            </w:pPr>
            <w:r>
              <w:rPr>
                <w:rFonts w:ascii="Times New Roman" w:hAnsi="Times New Roman" w:eastAsia="宋体" w:cs="Times New Roman"/>
                <w:sz w:val="24"/>
              </w:rPr>
              <w:t>17:</w:t>
            </w:r>
            <w:r>
              <w:rPr>
                <w:rFonts w:hint="eastAsia" w:ascii="Times New Roman" w:hAnsi="Times New Roman" w:eastAsia="宋体" w:cs="Times New Roman"/>
                <w:sz w:val="24"/>
                <w:lang w:val="en-US" w:eastAsia="zh-CN"/>
              </w:rPr>
              <w:t>0</w:t>
            </w:r>
            <w:r>
              <w:rPr>
                <w:rFonts w:ascii="Times New Roman" w:hAnsi="Times New Roman" w:eastAsia="宋体" w:cs="Times New Roman"/>
                <w:sz w:val="24"/>
              </w:rPr>
              <w:t>0-1</w:t>
            </w:r>
            <w:r>
              <w:rPr>
                <w:rFonts w:hint="eastAsia" w:ascii="Times New Roman" w:hAnsi="Times New Roman" w:eastAsia="宋体" w:cs="Times New Roman"/>
                <w:sz w:val="24"/>
                <w:lang w:val="en-US" w:eastAsia="zh-CN"/>
              </w:rPr>
              <w:t>7</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ascii="Times New Roman" w:hAnsi="Times New Roman" w:eastAsia="宋体" w:cs="Times New Roman"/>
                <w:sz w:val="24"/>
              </w:rPr>
              <w:t>0</w:t>
            </w:r>
          </w:p>
        </w:tc>
        <w:tc>
          <w:tcPr>
            <w:tcW w:w="5250" w:type="dxa"/>
            <w:vAlign w:val="center"/>
          </w:tcPr>
          <w:p w14:paraId="50448EBB">
            <w:pPr>
              <w:jc w:val="center"/>
              <w:rPr>
                <w:rFonts w:ascii="Times New Roman" w:hAnsi="Times New Roman" w:eastAsia="宋体" w:cs="Times New Roman"/>
                <w:sz w:val="24"/>
              </w:rPr>
            </w:pPr>
            <w:r>
              <w:rPr>
                <w:rFonts w:hint="eastAsia" w:ascii="Times New Roman" w:hAnsi="Times New Roman" w:eastAsia="宋体" w:cs="Times New Roman"/>
                <w:sz w:val="24"/>
              </w:rPr>
              <w:t>情感计算+大模型: 从判别式情感识别迈向生成式情感理解</w:t>
            </w:r>
          </w:p>
        </w:tc>
        <w:tc>
          <w:tcPr>
            <w:tcW w:w="1750" w:type="dxa"/>
            <w:vAlign w:val="center"/>
          </w:tcPr>
          <w:p w14:paraId="407238C6">
            <w:pPr>
              <w:jc w:val="center"/>
              <w:rPr>
                <w:rFonts w:ascii="Times New Roman" w:hAnsi="Times New Roman" w:eastAsia="宋体" w:cs="Times New Roman"/>
                <w:sz w:val="24"/>
              </w:rPr>
            </w:pPr>
            <w:r>
              <w:rPr>
                <w:rFonts w:hint="eastAsia" w:ascii="Times New Roman" w:hAnsi="Times New Roman" w:eastAsia="宋体" w:cs="Times New Roman"/>
                <w:sz w:val="24"/>
              </w:rPr>
              <w:t>连政</w:t>
            </w:r>
          </w:p>
        </w:tc>
      </w:tr>
      <w:tr w14:paraId="0BF7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8625" w:type="dxa"/>
            <w:gridSpan w:val="3"/>
            <w:shd w:val="clear" w:color="auto" w:fill="E7E6E6" w:themeFill="background2"/>
            <w:vAlign w:val="center"/>
          </w:tcPr>
          <w:p w14:paraId="0F4FCDA4">
            <w:pPr>
              <w:jc w:val="center"/>
              <w:rPr>
                <w:rFonts w:hint="eastAsia" w:ascii="Times New Roman" w:hAnsi="Times New Roman" w:eastAsia="黑体" w:cs="Times New Roman"/>
                <w:sz w:val="24"/>
                <w:lang w:eastAsia="zh-CN"/>
              </w:rPr>
            </w:pPr>
            <w:r>
              <w:rPr>
                <w:rFonts w:ascii="Times New Roman" w:hAnsi="Times New Roman" w:eastAsia="黑体" w:cs="Times New Roman"/>
                <w:b/>
                <w:bCs/>
                <w:sz w:val="28"/>
                <w:szCs w:val="28"/>
              </w:rPr>
              <w:t>执行委员会</w:t>
            </w:r>
            <w:r>
              <w:rPr>
                <w:rFonts w:hint="eastAsia" w:ascii="Times New Roman" w:hAnsi="Times New Roman" w:eastAsia="黑体" w:cs="Times New Roman"/>
                <w:b/>
                <w:bCs/>
                <w:sz w:val="28"/>
                <w:szCs w:val="28"/>
              </w:rPr>
              <w:t>闭门会议</w:t>
            </w:r>
            <w:r>
              <w:rPr>
                <w:rFonts w:hint="eastAsia" w:ascii="Times New Roman" w:hAnsi="Times New Roman" w:eastAsia="黑体" w:cs="Times New Roman"/>
                <w:b/>
                <w:bCs/>
                <w:sz w:val="28"/>
                <w:szCs w:val="28"/>
                <w:lang w:eastAsia="zh-CN"/>
              </w:rPr>
              <w:t>（实验楼一楼会议室3）</w:t>
            </w:r>
          </w:p>
        </w:tc>
      </w:tr>
      <w:tr w14:paraId="7FAB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625" w:type="dxa"/>
            <w:vAlign w:val="center"/>
          </w:tcPr>
          <w:p w14:paraId="5168E881">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lang w:val="en-US" w:eastAsia="zh-CN"/>
              </w:rPr>
              <w:t>7</w:t>
            </w:r>
            <w:r>
              <w:rPr>
                <w:rFonts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ascii="Times New Roman" w:hAnsi="Times New Roman" w:eastAsia="宋体" w:cs="Times New Roman"/>
                <w:sz w:val="24"/>
              </w:rPr>
              <w:t>0-18:</w:t>
            </w:r>
            <w:r>
              <w:rPr>
                <w:rFonts w:hint="eastAsia" w:ascii="Times New Roman" w:hAnsi="Times New Roman" w:eastAsia="宋体" w:cs="Times New Roman"/>
                <w:sz w:val="24"/>
                <w:lang w:val="en-US" w:eastAsia="zh-CN"/>
              </w:rPr>
              <w:t>0</w:t>
            </w:r>
            <w:r>
              <w:rPr>
                <w:rFonts w:ascii="Times New Roman" w:hAnsi="Times New Roman" w:eastAsia="宋体" w:cs="Times New Roman"/>
                <w:sz w:val="24"/>
              </w:rPr>
              <w:t>0</w:t>
            </w:r>
          </w:p>
        </w:tc>
        <w:tc>
          <w:tcPr>
            <w:tcW w:w="7000" w:type="dxa"/>
            <w:gridSpan w:val="2"/>
            <w:vAlign w:val="center"/>
          </w:tcPr>
          <w:p w14:paraId="49DEC631">
            <w:pPr>
              <w:jc w:val="center"/>
              <w:rPr>
                <w:rFonts w:ascii="Times New Roman" w:hAnsi="Times New Roman" w:eastAsia="宋体" w:cs="Times New Roman"/>
                <w:sz w:val="24"/>
              </w:rPr>
            </w:pPr>
            <w:r>
              <w:rPr>
                <w:rFonts w:hint="eastAsia" w:ascii="Times New Roman" w:hAnsi="Times New Roman" w:eastAsia="宋体" w:cs="Times New Roman"/>
                <w:sz w:val="24"/>
              </w:rPr>
              <w:t>第一届</w:t>
            </w:r>
            <w:r>
              <w:rPr>
                <w:rFonts w:hint="eastAsia" w:ascii="Times New Roman" w:hAnsi="Times New Roman" w:eastAsia="宋体" w:cs="Times New Roman"/>
                <w:sz w:val="24"/>
                <w:lang w:val="en-US" w:eastAsia="zh-CN"/>
              </w:rPr>
              <w:t>情感计算</w:t>
            </w:r>
            <w:r>
              <w:rPr>
                <w:rFonts w:hint="eastAsia" w:ascii="Times New Roman" w:hAnsi="Times New Roman" w:eastAsia="宋体" w:cs="Times New Roman"/>
                <w:sz w:val="24"/>
              </w:rPr>
              <w:t>专委会执行委员会闭门交流会议</w:t>
            </w:r>
          </w:p>
        </w:tc>
      </w:tr>
      <w:tr w14:paraId="461D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625" w:type="dxa"/>
            <w:vAlign w:val="center"/>
          </w:tcPr>
          <w:p w14:paraId="28949E2E">
            <w:pPr>
              <w:jc w:val="center"/>
              <w:rPr>
                <w:rFonts w:ascii="Times New Roman" w:hAnsi="Times New Roman" w:eastAsia="宋体" w:cs="Times New Roman"/>
                <w:sz w:val="24"/>
              </w:rPr>
            </w:pPr>
            <w:r>
              <w:rPr>
                <w:rFonts w:ascii="Times New Roman" w:hAnsi="Times New Roman" w:eastAsia="宋体" w:cs="Times New Roman"/>
                <w:sz w:val="24"/>
              </w:rPr>
              <w:t>18:</w:t>
            </w:r>
            <w:r>
              <w:rPr>
                <w:rFonts w:hint="eastAsia" w:ascii="Times New Roman" w:hAnsi="Times New Roman" w:eastAsia="宋体" w:cs="Times New Roman"/>
                <w:sz w:val="24"/>
                <w:lang w:val="en-US" w:eastAsia="zh-CN"/>
              </w:rPr>
              <w:t>0</w:t>
            </w:r>
            <w:r>
              <w:rPr>
                <w:rFonts w:ascii="Times New Roman" w:hAnsi="Times New Roman" w:eastAsia="宋体" w:cs="Times New Roman"/>
                <w:sz w:val="24"/>
              </w:rPr>
              <w:t>0</w:t>
            </w:r>
          </w:p>
        </w:tc>
        <w:tc>
          <w:tcPr>
            <w:tcW w:w="7000" w:type="dxa"/>
            <w:gridSpan w:val="2"/>
            <w:vAlign w:val="center"/>
          </w:tcPr>
          <w:p w14:paraId="35264929">
            <w:pPr>
              <w:jc w:val="center"/>
              <w:rPr>
                <w:rFonts w:ascii="Times New Roman" w:hAnsi="Times New Roman" w:eastAsia="宋体" w:cs="Times New Roman"/>
                <w:sz w:val="24"/>
              </w:rPr>
            </w:pPr>
            <w:r>
              <w:rPr>
                <w:rFonts w:ascii="Times New Roman" w:hAnsi="Times New Roman" w:eastAsia="宋体" w:cs="Times New Roman"/>
                <w:sz w:val="24"/>
              </w:rPr>
              <w:t>会议闭幕/晚餐</w:t>
            </w:r>
          </w:p>
        </w:tc>
      </w:tr>
    </w:tbl>
    <w:p w14:paraId="602B251E">
      <w:pPr>
        <w:pBdr>
          <w:top w:val="single" w:color="auto" w:sz="6" w:space="1"/>
          <w:bottom w:val="single" w:color="auto" w:sz="6" w:space="1"/>
        </w:pBdr>
        <w:rPr>
          <w:rFonts w:hint="eastAsia"/>
          <w:lang w:val="en-US" w:eastAsia="zh-CN"/>
        </w:rPr>
      </w:pPr>
    </w:p>
    <w:p w14:paraId="4793B0FE">
      <w:pPr>
        <w:rPr>
          <w:rFonts w:hint="eastAsia" w:eastAsiaTheme="minorEastAsia"/>
          <w:sz w:val="28"/>
          <w:szCs w:val="28"/>
          <w:lang w:eastAsia="zh-CN"/>
        </w:rPr>
      </w:pPr>
      <w:r>
        <w:rPr>
          <w:rFonts w:hint="eastAsia"/>
          <w:b/>
          <w:bCs/>
          <w:color w:val="0070C0"/>
          <w:sz w:val="28"/>
          <w:szCs w:val="28"/>
          <w:lang w:val="en-US" w:eastAsia="zh-CN"/>
        </w:rPr>
        <w:drawing>
          <wp:anchor distT="0" distB="0" distL="114300" distR="114300" simplePos="0" relativeHeight="251659264" behindDoc="1" locked="0" layoutInCell="1" allowOverlap="1">
            <wp:simplePos x="0" y="0"/>
            <wp:positionH relativeFrom="column">
              <wp:posOffset>51435</wp:posOffset>
            </wp:positionH>
            <wp:positionV relativeFrom="paragraph">
              <wp:posOffset>460375</wp:posOffset>
            </wp:positionV>
            <wp:extent cx="871855" cy="1130935"/>
            <wp:effectExtent l="0" t="0" r="4445" b="12065"/>
            <wp:wrapTight wrapText="bothSides">
              <wp:wrapPolygon>
                <wp:start x="0" y="0"/>
                <wp:lineTo x="0" y="21345"/>
                <wp:lineTo x="21395" y="21345"/>
                <wp:lineTo x="21395"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871855" cy="1130935"/>
                    </a:xfrm>
                    <a:prstGeom prst="rect">
                      <a:avLst/>
                    </a:prstGeom>
                    <a:noFill/>
                    <a:ln>
                      <a:noFill/>
                    </a:ln>
                  </pic:spPr>
                </pic:pic>
              </a:graphicData>
            </a:graphic>
          </wp:anchor>
        </w:drawing>
      </w:r>
      <w:r>
        <w:rPr>
          <w:rFonts w:hint="eastAsia"/>
          <w:b/>
          <w:bCs/>
          <w:color w:val="0070C0"/>
          <w:sz w:val="28"/>
          <w:szCs w:val="28"/>
          <w:lang w:val="en-US" w:eastAsia="zh-CN"/>
        </w:rPr>
        <w:t>三</w:t>
      </w:r>
      <w:r>
        <w:rPr>
          <w:rFonts w:hint="eastAsia"/>
          <w:b/>
          <w:bCs/>
          <w:color w:val="0070C0"/>
          <w:sz w:val="28"/>
          <w:szCs w:val="28"/>
        </w:rPr>
        <w:t>、</w:t>
      </w:r>
      <w:r>
        <w:rPr>
          <w:rFonts w:hint="eastAsia"/>
          <w:b/>
          <w:bCs/>
          <w:color w:val="0070C0"/>
          <w:sz w:val="28"/>
          <w:szCs w:val="28"/>
          <w:lang w:val="en-US" w:eastAsia="zh-CN"/>
        </w:rPr>
        <w:t>执行主席</w:t>
      </w:r>
      <w:r>
        <w:rPr>
          <w:rFonts w:hint="eastAsia"/>
          <w:sz w:val="28"/>
          <w:szCs w:val="28"/>
        </w:rPr>
        <w:t>：</w:t>
      </w:r>
      <w:r>
        <w:rPr>
          <w:rFonts w:hint="eastAsia"/>
          <w:b/>
          <w:bCs/>
          <w:sz w:val="28"/>
          <w:szCs w:val="28"/>
        </w:rPr>
        <w:t>余梓彤、</w:t>
      </w:r>
      <w:r>
        <w:rPr>
          <w:rFonts w:hint="eastAsia"/>
          <w:b/>
          <w:bCs/>
          <w:sz w:val="28"/>
          <w:szCs w:val="28"/>
          <w:lang w:val="en-US" w:eastAsia="zh-CN"/>
        </w:rPr>
        <w:t>曾润浩</w:t>
      </w:r>
    </w:p>
    <w:p w14:paraId="7488B9D4">
      <w:pPr>
        <w:jc w:val="both"/>
        <w:rPr>
          <w:rFonts w:hint="eastAsia" w:eastAsiaTheme="minorEastAsia"/>
          <w:b/>
          <w:bCs/>
          <w:lang w:eastAsia="zh-CN"/>
        </w:rPr>
      </w:pPr>
      <w:r>
        <w:rPr>
          <w:rFonts w:hint="eastAsia"/>
          <w:color w:val="0000FF"/>
        </w:rPr>
        <w:t>余梓彤</w:t>
      </w:r>
      <w:r>
        <w:rPr>
          <w:rFonts w:hint="eastAsia"/>
        </w:rPr>
        <w:t>，大湾区大学长聘副教授，国家高层次青年人才，</w:t>
      </w:r>
      <w:r>
        <w:rPr>
          <w:rFonts w:hint="eastAsia"/>
          <w:lang w:val="en-US" w:eastAsia="zh-CN"/>
        </w:rPr>
        <w:t>中国计算机学会</w:t>
      </w:r>
      <w:r>
        <w:rPr>
          <w:rFonts w:hint="eastAsia"/>
        </w:rPr>
        <w:t>东莞分部秘书长，中国图象图形学学会生物特征识别专委会副秘书长，东莞市智能信息技术重点实验室副主任, 研究方向为微视觉计算。发表Cell子刊、TPAMI等高水平文章50篇，谷歌总引用8800次，获4项国际学术竞赛冠亚军，授权国家发明专利19项。主持国自然优青（海外）/面上/青年项目、CCF-腾讯犀牛鸟项目等。获广东省图象图形学会科技进步一等奖</w:t>
      </w:r>
      <w:r>
        <w:rPr>
          <w:rFonts w:hint="eastAsia"/>
          <w:lang w:eastAsia="zh-CN"/>
        </w:rPr>
        <w:t>（</w:t>
      </w:r>
      <w:r>
        <w:rPr>
          <w:rFonts w:hint="eastAsia"/>
          <w:lang w:val="en-US" w:eastAsia="zh-CN"/>
        </w:rPr>
        <w:t>序1</w:t>
      </w:r>
      <w:r>
        <w:rPr>
          <w:rFonts w:hint="eastAsia"/>
          <w:lang w:eastAsia="zh-CN"/>
        </w:rPr>
        <w:t>），</w:t>
      </w:r>
      <w:r>
        <w:rPr>
          <w:rFonts w:hint="eastAsia"/>
        </w:rPr>
        <w:t>国家优秀</w:t>
      </w:r>
      <w:r>
        <w:rPr>
          <w:rFonts w:hint="eastAsia"/>
          <w:lang w:val="en-US" w:eastAsia="zh-CN"/>
        </w:rPr>
        <w:t>自费</w:t>
      </w:r>
      <w:r>
        <w:rPr>
          <w:rFonts w:hint="eastAsia"/>
        </w:rPr>
        <w:t>留学生奖</w:t>
      </w:r>
      <w:r>
        <w:rPr>
          <w:rFonts w:hint="eastAsia"/>
          <w:lang w:eastAsia="zh-CN"/>
        </w:rPr>
        <w:t>，</w:t>
      </w:r>
      <w:r>
        <w:rPr>
          <w:rFonts w:hint="eastAsia"/>
        </w:rPr>
        <w:t>ACM SIGWEB中国新星奖，创新东莞青年科技奖</w:t>
      </w:r>
      <w:r>
        <w:rPr>
          <w:rFonts w:hint="eastAsia"/>
          <w:lang w:val="en-US" w:eastAsia="zh-CN"/>
        </w:rPr>
        <w:t>等</w:t>
      </w:r>
      <w:r>
        <w:rPr>
          <w:rFonts w:hint="eastAsia"/>
        </w:rPr>
        <w:t>，指导学生获IAPR最佳学生论文奖、CCBR 24最佳论文提名奖、广东省计算机学会优秀论文一等奖</w:t>
      </w:r>
      <w:r>
        <w:rPr>
          <w:rFonts w:hint="eastAsia"/>
          <w:lang w:val="en-US" w:eastAsia="zh-CN"/>
        </w:rPr>
        <w:t>等</w:t>
      </w:r>
      <w:r>
        <w:rPr>
          <w:rFonts w:hint="eastAsia"/>
        </w:rPr>
        <w:t>。担任IEEE TIFS编委和Machine Intelligence Research青年编委，曾担任ACM MM 25等领域主席。</w:t>
      </w:r>
    </w:p>
    <w:p w14:paraId="1D196334">
      <w:pPr>
        <w:pBdr>
          <w:bottom w:val="single" w:color="auto" w:sz="4" w:space="0"/>
        </w:pBdr>
        <w:ind w:firstLine="220" w:firstLineChars="100"/>
        <w:jc w:val="both"/>
        <w:rPr>
          <w:rFonts w:hint="eastAsia"/>
        </w:rPr>
      </w:pPr>
      <w:r>
        <w:drawing>
          <wp:anchor distT="0" distB="0" distL="0" distR="0" simplePos="0" relativeHeight="251660288" behindDoc="1" locked="0" layoutInCell="1" allowOverlap="1">
            <wp:simplePos x="0" y="0"/>
            <wp:positionH relativeFrom="column">
              <wp:posOffset>0</wp:posOffset>
            </wp:positionH>
            <wp:positionV relativeFrom="paragraph">
              <wp:posOffset>33655</wp:posOffset>
            </wp:positionV>
            <wp:extent cx="1059180" cy="1059180"/>
            <wp:effectExtent l="0" t="0" r="7620" b="7620"/>
            <wp:wrapTight wrapText="bothSides">
              <wp:wrapPolygon>
                <wp:start x="0" y="0"/>
                <wp:lineTo x="0" y="21237"/>
                <wp:lineTo x="21237" y="21237"/>
                <wp:lineTo x="21237" y="0"/>
                <wp:lineTo x="0" y="0"/>
              </wp:wrapPolygon>
            </wp:wrapTight>
            <wp:docPr id="1521456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56512"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59180" cy="1059180"/>
                    </a:xfrm>
                    <a:prstGeom prst="rect">
                      <a:avLst/>
                    </a:prstGeom>
                    <a:noFill/>
                    <a:ln>
                      <a:noFill/>
                    </a:ln>
                  </pic:spPr>
                </pic:pic>
              </a:graphicData>
            </a:graphic>
          </wp:anchor>
        </w:drawing>
      </w:r>
      <w:r>
        <w:rPr>
          <w:rFonts w:hint="eastAsia"/>
          <w:b w:val="0"/>
          <w:bCs w:val="0"/>
          <w:color w:val="0000FF"/>
          <w:lang w:val="en-US" w:eastAsia="zh-CN"/>
        </w:rPr>
        <w:t>曾润浩</w:t>
      </w:r>
      <w:r>
        <w:rPr>
          <w:rFonts w:hint="eastAsia"/>
        </w:rPr>
        <w:t>，深圳北理莫斯科大学长聘副教授，北理工博导。广东省重大人才工程青年拔尖人才，深圳市科技创新人才，深圳市鹏城孔雀人才。研究领域为计算机视觉、多模态数据分析，核心方向包括视频动作识别、情绪识别等，在IEEE TPAMI、IEEE TIP、CVPR等国际顶级期刊和会议发表论文30余篇，谷歌学术总引2</w:t>
      </w:r>
      <w:r>
        <w:rPr>
          <w:rFonts w:hint="eastAsia"/>
          <w:lang w:val="en-US" w:eastAsia="zh-CN"/>
        </w:rPr>
        <w:t>3</w:t>
      </w:r>
      <w:r>
        <w:rPr>
          <w:rFonts w:hint="eastAsia"/>
        </w:rPr>
        <w:t>00余次，</w:t>
      </w:r>
      <w:r>
        <w:rPr>
          <w:rFonts w:hint="eastAsia"/>
          <w:lang w:val="en-US" w:eastAsia="zh-CN"/>
        </w:rPr>
        <w:t>一作</w:t>
      </w:r>
      <w:r>
        <w:rPr>
          <w:rFonts w:hint="eastAsia"/>
        </w:rPr>
        <w:t>单篇最高引</w:t>
      </w:r>
      <w:r>
        <w:rPr>
          <w:rFonts w:hint="eastAsia"/>
          <w:lang w:val="en-US" w:eastAsia="zh-CN"/>
        </w:rPr>
        <w:t>6</w:t>
      </w:r>
      <w:r>
        <w:rPr>
          <w:rFonts w:hint="eastAsia"/>
        </w:rPr>
        <w:t>00余次。近三年主持国家自然科学基金、广东省教育厅重点领域项目等纵向科研项目7项。获教育部自然科学二等奖</w:t>
      </w:r>
      <w:r>
        <w:rPr>
          <w:rFonts w:hint="eastAsia"/>
          <w:lang w:eastAsia="zh-CN"/>
        </w:rPr>
        <w:t>，</w:t>
      </w:r>
      <w:r>
        <w:rPr>
          <w:rFonts w:hint="eastAsia"/>
          <w:lang w:val="en-US" w:eastAsia="zh-CN"/>
        </w:rPr>
        <w:t>吴文俊人工智能自然科学一等奖</w:t>
      </w:r>
      <w:r>
        <w:rPr>
          <w:rFonts w:hint="eastAsia"/>
        </w:rPr>
        <w:t>，中国图象图形学学会优博提名奖，</w:t>
      </w:r>
      <w:r>
        <w:rPr>
          <w:rFonts w:hint="eastAsia"/>
          <w:lang w:val="en-US" w:eastAsia="zh-CN"/>
        </w:rPr>
        <w:t>IEEE CloudCom杰出论文奖</w:t>
      </w:r>
      <w:r>
        <w:rPr>
          <w:rFonts w:hint="eastAsia"/>
        </w:rPr>
        <w:t>，成果入选CVPR 2024</w:t>
      </w:r>
      <w:r>
        <w:rPr>
          <w:rFonts w:hint="eastAsia"/>
          <w:lang w:val="en-US" w:eastAsia="zh-CN"/>
        </w:rPr>
        <w:t xml:space="preserve"> Best Paper </w:t>
      </w:r>
      <w:r>
        <w:rPr>
          <w:rFonts w:hint="eastAsia"/>
        </w:rPr>
        <w:t>Final List。担任多个国际国内会议的</w:t>
      </w:r>
      <w:r>
        <w:rPr>
          <w:rFonts w:hint="eastAsia"/>
          <w:lang w:val="en-US" w:eastAsia="zh-CN"/>
        </w:rPr>
        <w:t>AC、</w:t>
      </w:r>
      <w:r>
        <w:rPr>
          <w:rFonts w:hint="eastAsia"/>
        </w:rPr>
        <w:t>本地主席、论坛主席，中国图象图形学学会多媒体</w:t>
      </w:r>
      <w:r>
        <w:rPr>
          <w:rFonts w:hint="eastAsia"/>
          <w:lang w:eastAsia="zh-CN"/>
        </w:rPr>
        <w:t>、</w:t>
      </w:r>
      <w:r>
        <w:rPr>
          <w:rFonts w:hint="eastAsia"/>
          <w:lang w:val="en-US" w:eastAsia="zh-CN"/>
        </w:rPr>
        <w:t>情感计算与理解、生物特征识别</w:t>
      </w:r>
      <w:r>
        <w:rPr>
          <w:rFonts w:hint="eastAsia"/>
        </w:rPr>
        <w:t>专委会委员，广东图象图形学会青工委、计算机视觉专委会委员。</w:t>
      </w:r>
    </w:p>
    <w:p w14:paraId="29622BA7">
      <w:pPr>
        <w:rPr>
          <w:rFonts w:hint="default"/>
          <w:lang w:val="en-US"/>
        </w:rPr>
      </w:pPr>
      <w:r>
        <w:rPr>
          <w:rFonts w:hint="eastAsia"/>
          <w:b/>
          <w:bCs/>
          <w:color w:val="0070C0"/>
          <w:sz w:val="28"/>
          <w:szCs w:val="28"/>
          <w:lang w:val="en-US" w:eastAsia="zh-CN"/>
        </w:rPr>
        <w:t>四</w:t>
      </w:r>
      <w:r>
        <w:rPr>
          <w:rFonts w:hint="eastAsia"/>
          <w:b/>
          <w:bCs/>
          <w:color w:val="0070C0"/>
          <w:sz w:val="28"/>
          <w:szCs w:val="28"/>
        </w:rPr>
        <w:t>、</w:t>
      </w:r>
      <w:r>
        <w:rPr>
          <w:rFonts w:hint="eastAsia"/>
          <w:b/>
          <w:bCs/>
          <w:color w:val="0070C0"/>
          <w:sz w:val="28"/>
          <w:szCs w:val="28"/>
          <w:lang w:val="en-US" w:eastAsia="zh-CN"/>
        </w:rPr>
        <w:t>特邀专家</w:t>
      </w:r>
      <w:r>
        <w:rPr>
          <w:rFonts w:hint="eastAsia"/>
          <w:b/>
          <w:bCs/>
          <w:color w:val="0070C0"/>
          <w:sz w:val="28"/>
          <w:szCs w:val="28"/>
        </w:rPr>
        <w:t>：</w:t>
      </w:r>
      <w:r>
        <w:rPr>
          <w:rFonts w:hint="eastAsia"/>
          <w:b/>
          <w:bCs/>
          <w:sz w:val="28"/>
          <w:szCs w:val="28"/>
          <w:lang w:val="en-US" w:eastAsia="zh-CN"/>
        </w:rPr>
        <w:t>金连文</w:t>
      </w:r>
      <w:r>
        <w:rPr>
          <w:rFonts w:hint="eastAsia"/>
          <w:b/>
          <w:bCs/>
          <w:sz w:val="28"/>
          <w:szCs w:val="28"/>
        </w:rPr>
        <w:t>、</w:t>
      </w:r>
      <w:r>
        <w:rPr>
          <w:rFonts w:hint="eastAsia"/>
          <w:b/>
          <w:bCs/>
          <w:sz w:val="28"/>
          <w:szCs w:val="28"/>
          <w:lang w:val="en-US" w:eastAsia="zh-CN"/>
        </w:rPr>
        <w:t>杨巨峰</w:t>
      </w:r>
      <w:r>
        <w:rPr>
          <w:rFonts w:hint="eastAsia"/>
          <w:b/>
          <w:bCs/>
          <w:sz w:val="28"/>
          <w:szCs w:val="28"/>
        </w:rPr>
        <w:t>、</w:t>
      </w:r>
      <w:r>
        <w:rPr>
          <w:rFonts w:hint="eastAsia"/>
          <w:b/>
          <w:bCs/>
          <w:sz w:val="28"/>
          <w:szCs w:val="28"/>
          <w:lang w:val="en-US" w:eastAsia="zh-CN"/>
        </w:rPr>
        <w:t>洪晓鹏</w:t>
      </w:r>
      <w:r>
        <w:rPr>
          <w:rFonts w:hint="eastAsia"/>
          <w:b/>
          <w:bCs/>
          <w:sz w:val="28"/>
          <w:szCs w:val="28"/>
          <w:lang w:eastAsia="zh-CN"/>
        </w:rPr>
        <w:t>、</w:t>
      </w:r>
      <w:r>
        <w:rPr>
          <w:rFonts w:hint="eastAsia"/>
          <w:b/>
          <w:bCs/>
          <w:sz w:val="28"/>
          <w:szCs w:val="28"/>
          <w:lang w:val="en-US" w:eastAsia="zh-CN"/>
        </w:rPr>
        <w:t>张治国、连政</w:t>
      </w:r>
    </w:p>
    <w:p w14:paraId="717C864F">
      <w:pPr>
        <w:rPr>
          <w:rFonts w:hint="eastAsia"/>
        </w:rPr>
      </w:pPr>
      <w:r>
        <w:rPr>
          <w:rFonts w:ascii="楷体_GB2312" w:hAnsi="黑体" w:eastAsia="楷体_GB2312"/>
          <w:b/>
          <w:color w:val="000000" w:themeColor="text1"/>
          <w:szCs w:val="21"/>
          <w14:textFill>
            <w14:solidFill>
              <w14:schemeClr w14:val="tx1"/>
            </w14:solidFill>
          </w14:textFill>
        </w:rPr>
        <w:drawing>
          <wp:anchor distT="0" distB="0" distL="114300" distR="114300" simplePos="0" relativeHeight="251661312" behindDoc="1" locked="0" layoutInCell="1" allowOverlap="1">
            <wp:simplePos x="0" y="0"/>
            <wp:positionH relativeFrom="column">
              <wp:posOffset>-46990</wp:posOffset>
            </wp:positionH>
            <wp:positionV relativeFrom="paragraph">
              <wp:posOffset>31115</wp:posOffset>
            </wp:positionV>
            <wp:extent cx="1169670" cy="1285240"/>
            <wp:effectExtent l="0" t="0" r="11430" b="10160"/>
            <wp:wrapTight wrapText="bothSides">
              <wp:wrapPolygon>
                <wp:start x="0" y="0"/>
                <wp:lineTo x="0" y="21344"/>
                <wp:lineTo x="21342" y="21344"/>
                <wp:lineTo x="21342" y="0"/>
                <wp:lineTo x="0" y="0"/>
              </wp:wrapPolygon>
            </wp:wrapTight>
            <wp:docPr id="1196016737" name="图片 1" descr="穿着西装笔挺的男子&#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016737" name="图片 1" descr="穿着西装笔挺的男子&#10;&#10;描述已自动生成"/>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9670" cy="1285240"/>
                    </a:xfrm>
                    <a:prstGeom prst="rect">
                      <a:avLst/>
                    </a:prstGeom>
                  </pic:spPr>
                </pic:pic>
              </a:graphicData>
            </a:graphic>
          </wp:anchor>
        </w:drawing>
      </w:r>
      <w:r>
        <w:rPr>
          <w:rFonts w:hint="eastAsia"/>
          <w:color w:val="0000FF"/>
          <w:lang w:eastAsia="zh-CN"/>
        </w:rPr>
        <w:t>金连文</w:t>
      </w:r>
      <w:r>
        <w:rPr>
          <w:rFonts w:hint="eastAsia"/>
          <w:lang w:eastAsia="zh-CN"/>
        </w:rPr>
        <w:t>，</w:t>
      </w:r>
      <w:r>
        <w:rPr>
          <w:rFonts w:hint="eastAsia"/>
        </w:rPr>
        <w:t>华南理工大学二级教授，兼任中国图象图形学学会副理事长、广东省图象图形学会理事长等职。在重要学术期刊及国际会议上发表论文300余篇（其中中科院SCI一区期刊+CCF A类论文100余篇），Google Scholar论文被引用数20000余次，H-Index 76。2006年入选教育部“新世纪优秀人才”计划，2024年入选国际模式识别协会会士（IAPR Fellow）。获省部级科技奖5项（其中一等奖2项），获国际学术会议最佳论文奖4次。指导学生参加知名国际国内学术竞赛并荣获冠军20余次。</w:t>
      </w:r>
    </w:p>
    <w:p w14:paraId="41E88A77">
      <w:pPr>
        <w:jc w:val="both"/>
        <w:rPr>
          <w:rFonts w:hint="eastAsia"/>
          <w:b/>
          <w:bCs/>
          <w:lang w:val="en-US" w:eastAsia="zh-CN"/>
        </w:rPr>
      </w:pPr>
      <w:r>
        <w:rPr>
          <w:rFonts w:hint="eastAsia"/>
          <w:b/>
          <w:bCs/>
          <w:lang w:val="en-US" w:eastAsia="zh-CN"/>
        </w:rPr>
        <w:t>报告题目：AIGC时代的文档图像安全：从像素感知到可解释大模型语义分析</w:t>
      </w:r>
    </w:p>
    <w:p w14:paraId="21738BE1">
      <w:pPr>
        <w:pBdr>
          <w:bottom w:val="single" w:color="auto" w:sz="4" w:space="0"/>
        </w:pBdr>
        <w:jc w:val="both"/>
        <w:rPr>
          <w:rFonts w:hint="eastAsia"/>
          <w:lang w:val="en-US" w:eastAsia="zh-CN"/>
        </w:rPr>
      </w:pPr>
      <w:r>
        <w:rPr>
          <w:rFonts w:hint="eastAsia"/>
          <w:b/>
          <w:bCs/>
          <w:lang w:val="en-US" w:eastAsia="zh-CN"/>
        </w:rPr>
        <w:t>报告摘要：</w:t>
      </w:r>
      <w:r>
        <w:rPr>
          <w:rFonts w:hint="eastAsia"/>
          <w:lang w:val="en-US" w:eastAsia="zh-CN"/>
        </w:rPr>
        <w:t>近年来，随着生成式AI的快速发展，图像和文本篡改变得越来越逼真，对信息安全构成了严重威胁。针对如何应对篡改技术日益复杂化的技术挑战，本报告从像素级视觉特征到高级语义理解的文字篡改检测技术视角，从数据集建设、篡改检测方法和可解释性分析三个维度介绍我们在解决此问题的一些近期研究进展，包括大规模文本图像篡改数据集构建方法、基于视觉与频域联合感知的多模态多视图文本篡改检测技术、基于视觉和语义线索的多模态大模型文本篡改检测方法及可解释性研究。此外，此报告还将对AGI时代相关技术的发展趋势进行简要讨论。</w:t>
      </w:r>
    </w:p>
    <w:p w14:paraId="2C40BD78">
      <w:pPr>
        <w:jc w:val="both"/>
        <w:rPr>
          <w:rFonts w:hint="eastAsia"/>
        </w:rPr>
      </w:pPr>
      <w:r>
        <w:drawing>
          <wp:anchor distT="0" distB="0" distL="114300" distR="114300" simplePos="0" relativeHeight="251662336" behindDoc="1" locked="0" layoutInCell="1" allowOverlap="1">
            <wp:simplePos x="0" y="0"/>
            <wp:positionH relativeFrom="column">
              <wp:posOffset>-5715</wp:posOffset>
            </wp:positionH>
            <wp:positionV relativeFrom="paragraph">
              <wp:posOffset>27305</wp:posOffset>
            </wp:positionV>
            <wp:extent cx="939800" cy="1345565"/>
            <wp:effectExtent l="0" t="0" r="0" b="635"/>
            <wp:wrapTight wrapText="bothSides">
              <wp:wrapPolygon>
                <wp:start x="0" y="0"/>
                <wp:lineTo x="0" y="21406"/>
                <wp:lineTo x="21308" y="21406"/>
                <wp:lineTo x="21308" y="0"/>
                <wp:lineTo x="0" y="0"/>
              </wp:wrapPolygon>
            </wp:wrapTight>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939800" cy="1345565"/>
                    </a:xfrm>
                    <a:prstGeom prst="rect">
                      <a:avLst/>
                    </a:prstGeom>
                    <a:noFill/>
                    <a:ln>
                      <a:noFill/>
                    </a:ln>
                  </pic:spPr>
                </pic:pic>
              </a:graphicData>
            </a:graphic>
          </wp:anchor>
        </w:drawing>
      </w:r>
      <w:r>
        <w:rPr>
          <w:rFonts w:hint="eastAsia"/>
          <w:color w:val="0000FF"/>
        </w:rPr>
        <w:t>杨巨峰</w:t>
      </w:r>
      <w:r>
        <w:rPr>
          <w:rFonts w:hint="eastAsia"/>
          <w:lang w:eastAsia="zh-CN"/>
        </w:rPr>
        <w:t>，</w:t>
      </w:r>
      <w:r>
        <w:rPr>
          <w:rFonts w:hint="eastAsia"/>
        </w:rPr>
        <w:t>南开大学教授，数据与智能系统安全教育部重点实验室副主任，中国计算机学会计算机视觉专委会副秘书长，中国情感计算大会程序主席（CCAC 2025），国际计算机视觉与模式识别大会（CVPR 2024-2026）领域主席，国际情感计算汇刊（IEEE TAFFC）编委。主持国家自然科学基金重点项目，发表PIEEE/PAMI/CVPR等CCF A类论文60余篇。作为主要作者参与提出的“情智兼备数字人与机器人的研究”入选2024年中国科协十大前沿科学问题第1位。牵头制定“情智兼备数字人能力要求”团体标准。</w:t>
      </w:r>
    </w:p>
    <w:p w14:paraId="0E8F02A1">
      <w:pPr>
        <w:jc w:val="both"/>
        <w:rPr>
          <w:rFonts w:hint="eastAsia"/>
          <w:b/>
          <w:bCs/>
          <w:lang w:val="en-US" w:eastAsia="zh-CN"/>
        </w:rPr>
      </w:pPr>
      <w:r>
        <w:rPr>
          <w:rFonts w:hint="eastAsia"/>
          <w:b/>
          <w:bCs/>
          <w:lang w:val="en-US" w:eastAsia="zh-CN"/>
        </w:rPr>
        <w:t>报告题目：标签稀缺条件下的视频情感解绎与度量</w:t>
      </w:r>
    </w:p>
    <w:p w14:paraId="672BEAD9">
      <w:pPr>
        <w:pBdr>
          <w:bottom w:val="single" w:color="auto" w:sz="4" w:space="0"/>
        </w:pBdr>
        <w:jc w:val="both"/>
        <w:rPr>
          <w:rFonts w:hint="eastAsia"/>
        </w:rPr>
      </w:pPr>
      <w:r>
        <w:rPr>
          <w:rFonts w:hint="eastAsia"/>
          <w:b/>
          <w:bCs/>
          <w:lang w:val="en-US" w:eastAsia="zh-CN"/>
        </w:rPr>
        <w:t>报告摘要：</w:t>
      </w:r>
      <w:r>
        <w:rPr>
          <w:rFonts w:hint="eastAsia"/>
          <w:lang w:val="en-US" w:eastAsia="zh-CN"/>
        </w:rPr>
        <w:t>针对情感主观性与语义鸿沟带来的标签获取难题，聚焦标签稀缺条件下的视频情感理解。以低开销的少量人标和海量机标标签为抓手，初步探索低开销情感标签的表征学习算法与预训练情感知识向基座模型的迁移方法。</w:t>
      </w:r>
    </w:p>
    <w:p w14:paraId="6382A1F2">
      <w:pPr>
        <w:rPr>
          <w:rFonts w:hint="eastAsia"/>
        </w:rPr>
      </w:pPr>
      <w:r>
        <w:rPr>
          <w:rFonts w:hint="eastAsia"/>
          <w:color w:val="0000FF"/>
        </w:rPr>
        <w:drawing>
          <wp:anchor distT="0" distB="0" distL="114300" distR="114300" simplePos="0" relativeHeight="251663360" behindDoc="1" locked="0" layoutInCell="1" allowOverlap="1">
            <wp:simplePos x="0" y="0"/>
            <wp:positionH relativeFrom="column">
              <wp:posOffset>0</wp:posOffset>
            </wp:positionH>
            <wp:positionV relativeFrom="paragraph">
              <wp:posOffset>43815</wp:posOffset>
            </wp:positionV>
            <wp:extent cx="953135" cy="1233170"/>
            <wp:effectExtent l="0" t="0" r="12065" b="11430"/>
            <wp:wrapTight wrapText="bothSides">
              <wp:wrapPolygon>
                <wp:start x="0" y="0"/>
                <wp:lineTo x="0" y="21355"/>
                <wp:lineTo x="21298" y="21355"/>
                <wp:lineTo x="21298" y="0"/>
                <wp:lineTo x="0" y="0"/>
              </wp:wrapPolygon>
            </wp:wrapTight>
            <wp:docPr id="8" name="图片 8" descr="7ec95909fcf5a8e25fc139bdda90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ec95909fcf5a8e25fc139bdda901382"/>
                    <pic:cNvPicPr>
                      <a:picLocks noChangeAspect="1"/>
                    </pic:cNvPicPr>
                  </pic:nvPicPr>
                  <pic:blipFill>
                    <a:blip r:embed="rId10"/>
                    <a:stretch>
                      <a:fillRect/>
                    </a:stretch>
                  </pic:blipFill>
                  <pic:spPr>
                    <a:xfrm>
                      <a:off x="0" y="0"/>
                      <a:ext cx="953135" cy="1233170"/>
                    </a:xfrm>
                    <a:prstGeom prst="rect">
                      <a:avLst/>
                    </a:prstGeom>
                  </pic:spPr>
                </pic:pic>
              </a:graphicData>
            </a:graphic>
          </wp:anchor>
        </w:drawing>
      </w:r>
      <w:r>
        <w:rPr>
          <w:rFonts w:hint="eastAsia"/>
          <w:color w:val="0000FF"/>
        </w:rPr>
        <w:t>洪晓鹏</w:t>
      </w:r>
      <w:r>
        <w:rPr>
          <w:rFonts w:hint="eastAsia"/>
          <w:lang w:eastAsia="zh-CN"/>
        </w:rPr>
        <w:t>，</w:t>
      </w:r>
      <w:r>
        <w:rPr>
          <w:rFonts w:hint="eastAsia"/>
        </w:rPr>
        <w:t>哈尔滨工业大学，教授，博导，IEEE资深会员。目前的研究领域包括：智能目标感知与深度连续学习、多机策略分配与协同等。作为负责人主持了国家重点研发计划课题、国家自然科学基金、芬兰信息学会博士后基金等10余个项目。已在顶级国际和国内刊物和国际会议上发表文章100余篇，2次获得领域内国际权威期刊和会议的优秀论文奖，5次带队获得国际评测冠军。斯坦福大学年度全球前2%顶尖科学家。相关工作见诸美国《麻省理工技术评论》等技术媒体专文报道。中国图像与图形学学会情感计算与理解专业委员会常务委员。</w:t>
      </w:r>
    </w:p>
    <w:p w14:paraId="3F647309">
      <w:pPr>
        <w:jc w:val="both"/>
        <w:rPr>
          <w:rFonts w:hint="eastAsia"/>
          <w:b/>
          <w:bCs/>
          <w:lang w:val="en-US" w:eastAsia="zh-CN"/>
        </w:rPr>
      </w:pPr>
      <w:r>
        <w:rPr>
          <w:rFonts w:hint="eastAsia"/>
          <w:b/>
          <w:bCs/>
          <w:lang w:val="en-US" w:eastAsia="zh-CN"/>
        </w:rPr>
        <w:t>报告题目：连续学习与智能体技术在情感计算领域的尝试</w:t>
      </w:r>
    </w:p>
    <w:p w14:paraId="520213FE">
      <w:pPr>
        <w:pBdr>
          <w:bottom w:val="single" w:color="auto" w:sz="4" w:space="0"/>
        </w:pBdr>
        <w:jc w:val="both"/>
        <w:rPr>
          <w:rFonts w:hint="eastAsia"/>
          <w:lang w:val="en-US" w:eastAsia="zh-CN"/>
        </w:rPr>
      </w:pPr>
      <w:r>
        <w:rPr>
          <w:rFonts w:hint="eastAsia"/>
          <w:b/>
          <w:bCs/>
          <w:lang w:val="en-US" w:eastAsia="zh-CN"/>
        </w:rPr>
        <w:t>报告摘要：</w:t>
      </w:r>
      <w:r>
        <w:rPr>
          <w:rFonts w:hint="eastAsia"/>
          <w:lang w:val="en-US" w:eastAsia="zh-CN"/>
        </w:rPr>
        <w:t>本报告分为两个部分。第一部分将介绍连续学习与微表情识别的结合，分析增量微表情的研究意义以及所面临的特殊挑战，介绍增量微表情测试基准的构建过程，并汇报所提出的增量微表情识别方法。第二部分将介绍基于智能体技术的开放词汇情绪识别。重点汇报如何设计智能体将情感基础模型和大预言模型适配至开放词汇情绪识别任务以及如何克服语言模型的幻觉并形成稳定分类结果。</w:t>
      </w:r>
    </w:p>
    <w:p w14:paraId="5D4ACAFE">
      <w:pPr>
        <w:jc w:val="both"/>
        <w:rPr>
          <w:rFonts w:hint="eastAsia"/>
        </w:rPr>
      </w:pPr>
      <w:r>
        <w:drawing>
          <wp:anchor distT="0" distB="0" distL="114300" distR="114300" simplePos="0" relativeHeight="251664384" behindDoc="0" locked="0" layoutInCell="1" allowOverlap="1">
            <wp:simplePos x="0" y="0"/>
            <wp:positionH relativeFrom="column">
              <wp:posOffset>-1905</wp:posOffset>
            </wp:positionH>
            <wp:positionV relativeFrom="paragraph">
              <wp:posOffset>45720</wp:posOffset>
            </wp:positionV>
            <wp:extent cx="842645" cy="948690"/>
            <wp:effectExtent l="0" t="0" r="8255" b="3810"/>
            <wp:wrapSquare wrapText="bothSides"/>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1"/>
                    <a:stretch>
                      <a:fillRect/>
                    </a:stretch>
                  </pic:blipFill>
                  <pic:spPr>
                    <a:xfrm>
                      <a:off x="0" y="0"/>
                      <a:ext cx="842645" cy="948690"/>
                    </a:xfrm>
                    <a:prstGeom prst="rect">
                      <a:avLst/>
                    </a:prstGeom>
                    <a:noFill/>
                    <a:ln>
                      <a:noFill/>
                    </a:ln>
                  </pic:spPr>
                </pic:pic>
              </a:graphicData>
            </a:graphic>
          </wp:anchor>
        </w:drawing>
      </w:r>
      <w:r>
        <w:rPr>
          <w:rFonts w:hint="eastAsia"/>
          <w:color w:val="0000FF"/>
        </w:rPr>
        <w:t>张治国</w:t>
      </w:r>
      <w:r>
        <w:rPr>
          <w:rFonts w:hint="eastAsia"/>
          <w:lang w:eastAsia="zh-CN"/>
        </w:rPr>
        <w:t>，</w:t>
      </w:r>
      <w:r>
        <w:rPr>
          <w:rFonts w:hint="eastAsia"/>
        </w:rPr>
        <w:t>哈尔滨工业大学（深圳）智能科学与工程学院副院长，教授，博导，国家级青年人才。主要研究方向是脑机接口、认知情感计算和类脑计算。他在香港大学获得博士学位，曾任伦敦大学学院博士后，香港大学和新加坡南洋理工大学助理教授，中山大学和深圳大学教授。他已发表论文200余篇，编著一本脑电处理书籍（中英文版，知网高被引TOP1%）。获教育部自然科学奖一等奖和北京市自然科学二等奖，入选斯坦福大学公布的全球前2%顶尖科学家“终身科学影响力”榜单。</w:t>
      </w:r>
    </w:p>
    <w:p w14:paraId="7252FFD1">
      <w:pPr>
        <w:jc w:val="both"/>
        <w:rPr>
          <w:rFonts w:hint="eastAsia"/>
          <w:b/>
          <w:bCs/>
          <w:lang w:val="en-US" w:eastAsia="zh-CN"/>
        </w:rPr>
      </w:pPr>
      <w:r>
        <w:rPr>
          <w:rFonts w:hint="eastAsia"/>
          <w:b/>
          <w:bCs/>
          <w:lang w:val="en-US" w:eastAsia="zh-CN"/>
        </w:rPr>
        <w:t>报告题目：基于情感计算的抑郁筛查干预：技术进步与落地应用</w:t>
      </w:r>
    </w:p>
    <w:p w14:paraId="1AF3ACEC">
      <w:pPr>
        <w:pBdr>
          <w:bottom w:val="single" w:color="auto" w:sz="4" w:space="0"/>
        </w:pBdr>
        <w:jc w:val="both"/>
        <w:rPr>
          <w:rFonts w:hint="eastAsia"/>
          <w:lang w:val="en-US" w:eastAsia="zh-CN"/>
        </w:rPr>
      </w:pPr>
      <w:r>
        <w:rPr>
          <w:rFonts w:hint="eastAsia"/>
          <w:b/>
          <w:bCs/>
          <w:lang w:val="en-US" w:eastAsia="zh-CN"/>
        </w:rPr>
        <w:t>报告摘要：</w:t>
      </w:r>
      <w:r>
        <w:rPr>
          <w:rFonts w:hint="eastAsia"/>
          <w:lang w:val="en-US" w:eastAsia="zh-CN"/>
        </w:rPr>
        <w:t>基于多模态数据（如音视频文本和生理信号）的情感计算近年来获得突飞猛进的发展，但是其应用落地仍有诸多待解决的问题。本报告围绕基于多模态情感计算的人工智能技术在青少年抑郁筛查中的应用，介绍了系列的深度学习和大模型等技术。这些技术在公开及本地临床数据中展现出高精度筛查能力，有效提升了抑郁识别的准确性与个体化水平。进一步结合在深圳市开展的社会实验，研究验证了AI干预在改善青少年抑郁症状方面的效果，并深入分析了技术落地中面临的伦理风险、家长与医生接受度等关键问题。最后，报告从技术标准、治理机制与政策层面提出了推动AI抑郁筛查诊断负责任落地与规模化应用的系统建议。</w:t>
      </w:r>
    </w:p>
    <w:p w14:paraId="00029B8D">
      <w:pPr>
        <w:ind w:firstLine="220" w:firstLineChars="100"/>
        <w:jc w:val="both"/>
        <w:rPr>
          <w:rFonts w:hint="eastAsia"/>
        </w:rPr>
      </w:pPr>
      <w:r>
        <w:drawing>
          <wp:anchor distT="0" distB="0" distL="0" distR="0" simplePos="0" relativeHeight="251665408" behindDoc="1" locked="0" layoutInCell="1" allowOverlap="1">
            <wp:simplePos x="0" y="0"/>
            <wp:positionH relativeFrom="column">
              <wp:posOffset>-88265</wp:posOffset>
            </wp:positionH>
            <wp:positionV relativeFrom="paragraph">
              <wp:posOffset>1905</wp:posOffset>
            </wp:positionV>
            <wp:extent cx="1262380" cy="1389380"/>
            <wp:effectExtent l="0" t="0" r="7620" b="7620"/>
            <wp:wrapTight wrapText="bothSides">
              <wp:wrapPolygon>
                <wp:start x="0" y="0"/>
                <wp:lineTo x="0" y="21324"/>
                <wp:lineTo x="21296" y="21324"/>
                <wp:lineTo x="21296" y="0"/>
                <wp:lineTo x="0" y="0"/>
              </wp:wrapPolygon>
            </wp:wrapTight>
            <wp:docPr id="14266083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08379"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267279" cy="1394793"/>
                    </a:xfrm>
                    <a:prstGeom prst="rect">
                      <a:avLst/>
                    </a:prstGeom>
                    <a:noFill/>
                    <a:ln>
                      <a:noFill/>
                    </a:ln>
                  </pic:spPr>
                </pic:pic>
              </a:graphicData>
            </a:graphic>
          </wp:anchor>
        </w:drawing>
      </w:r>
      <w:r>
        <w:rPr>
          <w:rFonts w:hint="eastAsia"/>
          <w:color w:val="0000FF"/>
          <w:lang w:eastAsia="zh-CN"/>
        </w:rPr>
        <w:t>连政</w:t>
      </w:r>
      <w:r>
        <w:rPr>
          <w:rFonts w:hint="eastAsia"/>
          <w:lang w:eastAsia="zh-CN"/>
        </w:rPr>
        <w:t>，</w:t>
      </w:r>
      <w:r>
        <w:rPr>
          <w:rFonts w:hint="eastAsia"/>
        </w:rPr>
        <w:t>同济大学副教授。近年来已在情感计算、人机交互、大模型等领域开展一系列研究工作，累计发表论文和专利百余篇，包括TPAMI, TNNLS, TASLP, TAFFC等国际期刊和ICML, NeurIPS, ICLR等国际会议，Google Scholar 累计引用 4,300 余次（H-index: 35），入选全球前2%顶尖科学家榜单；作为“多模态高鲁棒细微情感分析关键技术与系统”的主要完成人之一，获得中国电子学会技术发明一等奖；联合清华大学、帝国理工、南洋理工、奥卢大学等情感计算团队，发布了多模态情感识别数据库MER，并围绕该数据库连续三年在 ACM Multimedia 和 IJCAI上组织国际挑战赛和研讨会；担任IEEE TAFFC和IEEE TASLP Associate Editor，Information Fusion Area Editor，ACM Multimedia 2025 和 ACL ARR 2025 Area Chair，ACM Multimedia 2026 Dataset Co-Chair。</w:t>
      </w:r>
    </w:p>
    <w:p w14:paraId="3B744EC4">
      <w:pPr>
        <w:jc w:val="both"/>
        <w:rPr>
          <w:rFonts w:hint="eastAsia"/>
          <w:b/>
          <w:bCs/>
          <w:lang w:val="en-US" w:eastAsia="zh-CN"/>
        </w:rPr>
      </w:pPr>
      <w:r>
        <w:rPr>
          <w:rFonts w:hint="eastAsia"/>
          <w:b/>
          <w:bCs/>
          <w:lang w:val="en-US" w:eastAsia="zh-CN"/>
        </w:rPr>
        <w:t>报告题目：情感计算+大模型: 从判别式情感识别迈向生成式情感理解</w:t>
      </w:r>
    </w:p>
    <w:p w14:paraId="53EBABCB">
      <w:pPr>
        <w:pBdr>
          <w:bottom w:val="single" w:color="auto" w:sz="4" w:space="0"/>
        </w:pBdr>
        <w:jc w:val="both"/>
        <w:rPr>
          <w:rFonts w:hint="eastAsia"/>
          <w:lang w:val="en-US" w:eastAsia="zh-CN"/>
        </w:rPr>
      </w:pPr>
      <w:r>
        <w:rPr>
          <w:rFonts w:hint="eastAsia"/>
          <w:b/>
          <w:bCs/>
          <w:lang w:val="en-US" w:eastAsia="zh-CN"/>
        </w:rPr>
        <w:t>报告摘要：</w:t>
      </w:r>
      <w:r>
        <w:rPr>
          <w:rFonts w:hint="eastAsia"/>
          <w:lang w:val="en-US" w:eastAsia="zh-CN"/>
        </w:rPr>
        <w:t>情绪与认知、决策和行为密切关联，在人工智能领域发挥着关键作用。情绪表征方法旨在将复杂的人类情绪映射为可量化的数值。当前情绪表征领域主要存在两种范式：基本情感表示与维度情感表示。基本情感表示基于心理学理论，将人类情绪划分为离散标签。然而，人类情绪非常复杂，远不止六种基本情感，将情绪空间限制于基本类别必然会忽略一些细微情绪。不同于基本情感，维度情感表示将人类情绪建模为连续多维空间中的一个点，能够建模细粒度情感。但是，维度表示相比于离散表示更为抽象，与人类对于情感的直观感受不一致，导致维度情感在下游任务中应用较为受限。本次报告将总结我们近期在该领域的一些尝试，希望借助多模态大模型丰富的词表以及多模态感知能力，将判别式情感识别，向细粒度、可解释生成式情感理解过渡，并整理了我们近期在该领域的一些尝试，包括EMER(Arxiv24)、OV-MER(ICML25)、AffectGPT(ICML25)、EmoPrefer(ICLR26)和AffectGPT-R1(Arxiv25)，希望能给情感计算社区提供一些参考。</w:t>
      </w:r>
    </w:p>
    <w:p w14:paraId="39885D5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PingFangSC-Regular">
    <w:altName w:val="Cambria"/>
    <w:panose1 w:val="020B0604020202020204"/>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20B0604020202020204"/>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4EA"/>
    <w:rsid w:val="000007BE"/>
    <w:rsid w:val="0004491A"/>
    <w:rsid w:val="000601DD"/>
    <w:rsid w:val="000607B3"/>
    <w:rsid w:val="00067559"/>
    <w:rsid w:val="00085F17"/>
    <w:rsid w:val="000A5A8E"/>
    <w:rsid w:val="000C49D2"/>
    <w:rsid w:val="000D5B7A"/>
    <w:rsid w:val="00116718"/>
    <w:rsid w:val="0013670B"/>
    <w:rsid w:val="001540AB"/>
    <w:rsid w:val="00156F79"/>
    <w:rsid w:val="00157FBA"/>
    <w:rsid w:val="00163B75"/>
    <w:rsid w:val="0017025B"/>
    <w:rsid w:val="001774C7"/>
    <w:rsid w:val="001956BA"/>
    <w:rsid w:val="001C0D72"/>
    <w:rsid w:val="001D7D62"/>
    <w:rsid w:val="001E2B94"/>
    <w:rsid w:val="00256C11"/>
    <w:rsid w:val="002971BA"/>
    <w:rsid w:val="002A23C0"/>
    <w:rsid w:val="002A78EB"/>
    <w:rsid w:val="002B40AB"/>
    <w:rsid w:val="002C0EA9"/>
    <w:rsid w:val="002C2538"/>
    <w:rsid w:val="002C35A9"/>
    <w:rsid w:val="002D230D"/>
    <w:rsid w:val="002E4A5A"/>
    <w:rsid w:val="002F2ED7"/>
    <w:rsid w:val="00306DB0"/>
    <w:rsid w:val="003542B1"/>
    <w:rsid w:val="00363C18"/>
    <w:rsid w:val="00396ECD"/>
    <w:rsid w:val="00397A42"/>
    <w:rsid w:val="003A6FD7"/>
    <w:rsid w:val="003D216E"/>
    <w:rsid w:val="003E15EB"/>
    <w:rsid w:val="004073D4"/>
    <w:rsid w:val="00410780"/>
    <w:rsid w:val="0041189F"/>
    <w:rsid w:val="00414985"/>
    <w:rsid w:val="004207F1"/>
    <w:rsid w:val="004218E6"/>
    <w:rsid w:val="004455D9"/>
    <w:rsid w:val="004464AE"/>
    <w:rsid w:val="004761DE"/>
    <w:rsid w:val="004B1AB6"/>
    <w:rsid w:val="004C52DA"/>
    <w:rsid w:val="004D3133"/>
    <w:rsid w:val="004E616D"/>
    <w:rsid w:val="00521E8B"/>
    <w:rsid w:val="00525646"/>
    <w:rsid w:val="00552CFA"/>
    <w:rsid w:val="005A04AE"/>
    <w:rsid w:val="005A1A1F"/>
    <w:rsid w:val="005A4D97"/>
    <w:rsid w:val="005B286B"/>
    <w:rsid w:val="005B7CDF"/>
    <w:rsid w:val="005C4D2E"/>
    <w:rsid w:val="0060724A"/>
    <w:rsid w:val="0066190F"/>
    <w:rsid w:val="00664184"/>
    <w:rsid w:val="006A4AC6"/>
    <w:rsid w:val="006C3877"/>
    <w:rsid w:val="006D7F26"/>
    <w:rsid w:val="006E3AD9"/>
    <w:rsid w:val="006F22C5"/>
    <w:rsid w:val="007177D6"/>
    <w:rsid w:val="007474EA"/>
    <w:rsid w:val="00796147"/>
    <w:rsid w:val="007A6791"/>
    <w:rsid w:val="007E6D54"/>
    <w:rsid w:val="007E72E2"/>
    <w:rsid w:val="00801181"/>
    <w:rsid w:val="008076AA"/>
    <w:rsid w:val="00810DF7"/>
    <w:rsid w:val="00815A26"/>
    <w:rsid w:val="00816A77"/>
    <w:rsid w:val="00835E7F"/>
    <w:rsid w:val="00864DAB"/>
    <w:rsid w:val="00866480"/>
    <w:rsid w:val="008A524A"/>
    <w:rsid w:val="008B3B60"/>
    <w:rsid w:val="008E61B2"/>
    <w:rsid w:val="00937747"/>
    <w:rsid w:val="00947094"/>
    <w:rsid w:val="00950DC5"/>
    <w:rsid w:val="00983134"/>
    <w:rsid w:val="009952DF"/>
    <w:rsid w:val="00996BC3"/>
    <w:rsid w:val="009A502D"/>
    <w:rsid w:val="009B3FD1"/>
    <w:rsid w:val="009C1DB7"/>
    <w:rsid w:val="009C333F"/>
    <w:rsid w:val="009D3F8B"/>
    <w:rsid w:val="009F112B"/>
    <w:rsid w:val="009F1FFA"/>
    <w:rsid w:val="00A3066B"/>
    <w:rsid w:val="00A43D39"/>
    <w:rsid w:val="00A50086"/>
    <w:rsid w:val="00A904E2"/>
    <w:rsid w:val="00A9471E"/>
    <w:rsid w:val="00AA54FA"/>
    <w:rsid w:val="00AA77D4"/>
    <w:rsid w:val="00AC66EC"/>
    <w:rsid w:val="00AE281A"/>
    <w:rsid w:val="00B02E9B"/>
    <w:rsid w:val="00B1601E"/>
    <w:rsid w:val="00B24832"/>
    <w:rsid w:val="00B50BD8"/>
    <w:rsid w:val="00B95DA0"/>
    <w:rsid w:val="00BB5CDF"/>
    <w:rsid w:val="00BE0925"/>
    <w:rsid w:val="00BE5264"/>
    <w:rsid w:val="00C07C6A"/>
    <w:rsid w:val="00C16F9B"/>
    <w:rsid w:val="00C24C29"/>
    <w:rsid w:val="00C416C8"/>
    <w:rsid w:val="00C46917"/>
    <w:rsid w:val="00C61F97"/>
    <w:rsid w:val="00C6674E"/>
    <w:rsid w:val="00C875BE"/>
    <w:rsid w:val="00CE2848"/>
    <w:rsid w:val="00CE4259"/>
    <w:rsid w:val="00D0395B"/>
    <w:rsid w:val="00D4042D"/>
    <w:rsid w:val="00D55543"/>
    <w:rsid w:val="00DA6839"/>
    <w:rsid w:val="00DC21A8"/>
    <w:rsid w:val="00DF6142"/>
    <w:rsid w:val="00E06C91"/>
    <w:rsid w:val="00E13EF3"/>
    <w:rsid w:val="00E317A4"/>
    <w:rsid w:val="00E3502C"/>
    <w:rsid w:val="00E46250"/>
    <w:rsid w:val="00E94F7F"/>
    <w:rsid w:val="00EA2DB9"/>
    <w:rsid w:val="00EC2D7D"/>
    <w:rsid w:val="00EC550F"/>
    <w:rsid w:val="00ED4294"/>
    <w:rsid w:val="00EE1755"/>
    <w:rsid w:val="00EF3676"/>
    <w:rsid w:val="00F0646F"/>
    <w:rsid w:val="00F07D50"/>
    <w:rsid w:val="00F215DD"/>
    <w:rsid w:val="00F2221A"/>
    <w:rsid w:val="00F2508C"/>
    <w:rsid w:val="00F26B54"/>
    <w:rsid w:val="00F2721B"/>
    <w:rsid w:val="00F4461C"/>
    <w:rsid w:val="00F471C0"/>
    <w:rsid w:val="00F528D4"/>
    <w:rsid w:val="00F67B4B"/>
    <w:rsid w:val="00F80D81"/>
    <w:rsid w:val="00FA7C3C"/>
    <w:rsid w:val="00FC3682"/>
    <w:rsid w:val="00FD763F"/>
    <w:rsid w:val="00FD7752"/>
    <w:rsid w:val="013320FC"/>
    <w:rsid w:val="015514B2"/>
    <w:rsid w:val="015D38BD"/>
    <w:rsid w:val="01EA636A"/>
    <w:rsid w:val="02111B48"/>
    <w:rsid w:val="02581525"/>
    <w:rsid w:val="025B133E"/>
    <w:rsid w:val="028E4F47"/>
    <w:rsid w:val="02A824AD"/>
    <w:rsid w:val="02ED4364"/>
    <w:rsid w:val="02FD4E83"/>
    <w:rsid w:val="031B2C7F"/>
    <w:rsid w:val="03232B43"/>
    <w:rsid w:val="0334789D"/>
    <w:rsid w:val="033B6E7D"/>
    <w:rsid w:val="034C108A"/>
    <w:rsid w:val="03B77A6D"/>
    <w:rsid w:val="03C70711"/>
    <w:rsid w:val="03D35307"/>
    <w:rsid w:val="045C354F"/>
    <w:rsid w:val="04A12A4D"/>
    <w:rsid w:val="04AA66AD"/>
    <w:rsid w:val="04D07A99"/>
    <w:rsid w:val="04EB48D3"/>
    <w:rsid w:val="04F423F2"/>
    <w:rsid w:val="051536FE"/>
    <w:rsid w:val="05243941"/>
    <w:rsid w:val="055C757F"/>
    <w:rsid w:val="056A6474"/>
    <w:rsid w:val="05880374"/>
    <w:rsid w:val="067A4160"/>
    <w:rsid w:val="069114AA"/>
    <w:rsid w:val="06A44D39"/>
    <w:rsid w:val="06DF0467"/>
    <w:rsid w:val="07242BDC"/>
    <w:rsid w:val="07911761"/>
    <w:rsid w:val="07B611C8"/>
    <w:rsid w:val="07DB0C2F"/>
    <w:rsid w:val="07DB29DD"/>
    <w:rsid w:val="080B4BAB"/>
    <w:rsid w:val="084E7652"/>
    <w:rsid w:val="08695A4F"/>
    <w:rsid w:val="08945E2C"/>
    <w:rsid w:val="09120680"/>
    <w:rsid w:val="09212671"/>
    <w:rsid w:val="092469AB"/>
    <w:rsid w:val="096609CC"/>
    <w:rsid w:val="09C13E54"/>
    <w:rsid w:val="09D52BE9"/>
    <w:rsid w:val="09E3201C"/>
    <w:rsid w:val="0A05673B"/>
    <w:rsid w:val="0A073F5D"/>
    <w:rsid w:val="0A200B7B"/>
    <w:rsid w:val="0A5151D8"/>
    <w:rsid w:val="0A622F41"/>
    <w:rsid w:val="0A6A08B7"/>
    <w:rsid w:val="0A79472F"/>
    <w:rsid w:val="0ADF27E4"/>
    <w:rsid w:val="0AE0030A"/>
    <w:rsid w:val="0B09160F"/>
    <w:rsid w:val="0B114967"/>
    <w:rsid w:val="0B4C599F"/>
    <w:rsid w:val="0B582596"/>
    <w:rsid w:val="0B680A2B"/>
    <w:rsid w:val="0B752A0F"/>
    <w:rsid w:val="0B8447C0"/>
    <w:rsid w:val="0B907F82"/>
    <w:rsid w:val="0BCF0AAA"/>
    <w:rsid w:val="0BD36F33"/>
    <w:rsid w:val="0C6046B2"/>
    <w:rsid w:val="0C632FA1"/>
    <w:rsid w:val="0C6A2581"/>
    <w:rsid w:val="0C6F1945"/>
    <w:rsid w:val="0C741652"/>
    <w:rsid w:val="0C963376"/>
    <w:rsid w:val="0CF34325"/>
    <w:rsid w:val="0CF51215"/>
    <w:rsid w:val="0D58687D"/>
    <w:rsid w:val="0D904269"/>
    <w:rsid w:val="0DC91529"/>
    <w:rsid w:val="0EA31D7A"/>
    <w:rsid w:val="0F056591"/>
    <w:rsid w:val="0F10399E"/>
    <w:rsid w:val="0F607C6B"/>
    <w:rsid w:val="0F9242C9"/>
    <w:rsid w:val="0F985657"/>
    <w:rsid w:val="0FDE750E"/>
    <w:rsid w:val="104F49AD"/>
    <w:rsid w:val="10707449"/>
    <w:rsid w:val="109D1177"/>
    <w:rsid w:val="10F36FE9"/>
    <w:rsid w:val="11B322D4"/>
    <w:rsid w:val="11B81FE1"/>
    <w:rsid w:val="12527EEB"/>
    <w:rsid w:val="125735A8"/>
    <w:rsid w:val="125C0BBE"/>
    <w:rsid w:val="126420E9"/>
    <w:rsid w:val="126B7053"/>
    <w:rsid w:val="127557DC"/>
    <w:rsid w:val="12CA5B28"/>
    <w:rsid w:val="13573133"/>
    <w:rsid w:val="13712447"/>
    <w:rsid w:val="1376180B"/>
    <w:rsid w:val="138008DC"/>
    <w:rsid w:val="13DD188A"/>
    <w:rsid w:val="145A737F"/>
    <w:rsid w:val="145D73CE"/>
    <w:rsid w:val="14FC21E4"/>
    <w:rsid w:val="150B2427"/>
    <w:rsid w:val="15175270"/>
    <w:rsid w:val="15B8435D"/>
    <w:rsid w:val="15C9656A"/>
    <w:rsid w:val="15F143E2"/>
    <w:rsid w:val="168B31F4"/>
    <w:rsid w:val="16A20B69"/>
    <w:rsid w:val="16BF171B"/>
    <w:rsid w:val="16D9120B"/>
    <w:rsid w:val="16F319AC"/>
    <w:rsid w:val="170114E8"/>
    <w:rsid w:val="17124F10"/>
    <w:rsid w:val="178C3CF3"/>
    <w:rsid w:val="18023FB5"/>
    <w:rsid w:val="18055854"/>
    <w:rsid w:val="18060139"/>
    <w:rsid w:val="181C6512"/>
    <w:rsid w:val="183103F7"/>
    <w:rsid w:val="18477C1A"/>
    <w:rsid w:val="18552337"/>
    <w:rsid w:val="1876405C"/>
    <w:rsid w:val="18891FE1"/>
    <w:rsid w:val="18B52DD6"/>
    <w:rsid w:val="18BD1C8B"/>
    <w:rsid w:val="18F953B8"/>
    <w:rsid w:val="192F2B88"/>
    <w:rsid w:val="19527C5D"/>
    <w:rsid w:val="19E020D4"/>
    <w:rsid w:val="1A1104E0"/>
    <w:rsid w:val="1A11228E"/>
    <w:rsid w:val="1A2E2E40"/>
    <w:rsid w:val="1AF23E6D"/>
    <w:rsid w:val="1B351FAC"/>
    <w:rsid w:val="1B414DF5"/>
    <w:rsid w:val="1B9B4505"/>
    <w:rsid w:val="1BC17CE4"/>
    <w:rsid w:val="1C766D20"/>
    <w:rsid w:val="1C817B9F"/>
    <w:rsid w:val="1CB61DC4"/>
    <w:rsid w:val="1CD75A11"/>
    <w:rsid w:val="1CDF0421"/>
    <w:rsid w:val="1D085BCA"/>
    <w:rsid w:val="1D1C3424"/>
    <w:rsid w:val="1D2642A2"/>
    <w:rsid w:val="1D303373"/>
    <w:rsid w:val="1D37200B"/>
    <w:rsid w:val="1D3C4964"/>
    <w:rsid w:val="1D4D7A81"/>
    <w:rsid w:val="1D9E6FA7"/>
    <w:rsid w:val="1DAC0C4B"/>
    <w:rsid w:val="1DC15D79"/>
    <w:rsid w:val="1DE57E71"/>
    <w:rsid w:val="1DF60118"/>
    <w:rsid w:val="1E4470D6"/>
    <w:rsid w:val="1E796654"/>
    <w:rsid w:val="1EB678A8"/>
    <w:rsid w:val="1EB87042"/>
    <w:rsid w:val="1ED146E2"/>
    <w:rsid w:val="1ED61CF8"/>
    <w:rsid w:val="1F705CA9"/>
    <w:rsid w:val="1F771C34"/>
    <w:rsid w:val="1FD00AD4"/>
    <w:rsid w:val="1FE326A0"/>
    <w:rsid w:val="201C373B"/>
    <w:rsid w:val="201E3957"/>
    <w:rsid w:val="20531852"/>
    <w:rsid w:val="205B0707"/>
    <w:rsid w:val="209B0B03"/>
    <w:rsid w:val="20A774A8"/>
    <w:rsid w:val="20C20B07"/>
    <w:rsid w:val="20D109C9"/>
    <w:rsid w:val="20DE6368"/>
    <w:rsid w:val="20E00C0C"/>
    <w:rsid w:val="20EF2BFD"/>
    <w:rsid w:val="212C3E51"/>
    <w:rsid w:val="21BE176A"/>
    <w:rsid w:val="21CD2F3E"/>
    <w:rsid w:val="22031056"/>
    <w:rsid w:val="22077ED1"/>
    <w:rsid w:val="226F199F"/>
    <w:rsid w:val="22804455"/>
    <w:rsid w:val="23201794"/>
    <w:rsid w:val="23243032"/>
    <w:rsid w:val="234E00AF"/>
    <w:rsid w:val="23720241"/>
    <w:rsid w:val="238E3115"/>
    <w:rsid w:val="238F30D8"/>
    <w:rsid w:val="2419690F"/>
    <w:rsid w:val="24455956"/>
    <w:rsid w:val="2447751E"/>
    <w:rsid w:val="246D7F4A"/>
    <w:rsid w:val="249A1A6B"/>
    <w:rsid w:val="24A0493A"/>
    <w:rsid w:val="24AB7328"/>
    <w:rsid w:val="24D665AE"/>
    <w:rsid w:val="24DE708D"/>
    <w:rsid w:val="251B0F81"/>
    <w:rsid w:val="253670E1"/>
    <w:rsid w:val="25455B9E"/>
    <w:rsid w:val="25476CD1"/>
    <w:rsid w:val="254902A2"/>
    <w:rsid w:val="25754019"/>
    <w:rsid w:val="259D70CC"/>
    <w:rsid w:val="262A4140"/>
    <w:rsid w:val="26431A21"/>
    <w:rsid w:val="26C54B2C"/>
    <w:rsid w:val="26E56092"/>
    <w:rsid w:val="272A2BE1"/>
    <w:rsid w:val="273677D8"/>
    <w:rsid w:val="275639D6"/>
    <w:rsid w:val="27B84691"/>
    <w:rsid w:val="283B0D5A"/>
    <w:rsid w:val="28675185"/>
    <w:rsid w:val="28687E65"/>
    <w:rsid w:val="28F65471"/>
    <w:rsid w:val="293E7E49"/>
    <w:rsid w:val="29F02881"/>
    <w:rsid w:val="29F179E6"/>
    <w:rsid w:val="29FB645B"/>
    <w:rsid w:val="2A17569E"/>
    <w:rsid w:val="2A3F4BF5"/>
    <w:rsid w:val="2A7745C5"/>
    <w:rsid w:val="2A8E1EE7"/>
    <w:rsid w:val="2A9860B3"/>
    <w:rsid w:val="2AA84549"/>
    <w:rsid w:val="2B0F6376"/>
    <w:rsid w:val="2BE94E19"/>
    <w:rsid w:val="2C372028"/>
    <w:rsid w:val="2C41521A"/>
    <w:rsid w:val="2CF34D78"/>
    <w:rsid w:val="2CFC5020"/>
    <w:rsid w:val="2D2500D2"/>
    <w:rsid w:val="2D597D7C"/>
    <w:rsid w:val="2D5C161A"/>
    <w:rsid w:val="2D5C786C"/>
    <w:rsid w:val="2D8A43D9"/>
    <w:rsid w:val="2E0C3040"/>
    <w:rsid w:val="2E4B1DBB"/>
    <w:rsid w:val="2E566AE4"/>
    <w:rsid w:val="2E652751"/>
    <w:rsid w:val="2E921798"/>
    <w:rsid w:val="2EF04710"/>
    <w:rsid w:val="2F081A5A"/>
    <w:rsid w:val="2FA5374C"/>
    <w:rsid w:val="2FE222AB"/>
    <w:rsid w:val="2FF40230"/>
    <w:rsid w:val="30470360"/>
    <w:rsid w:val="306C431F"/>
    <w:rsid w:val="30E91417"/>
    <w:rsid w:val="3212499D"/>
    <w:rsid w:val="32144BB9"/>
    <w:rsid w:val="32513718"/>
    <w:rsid w:val="325A081E"/>
    <w:rsid w:val="326A2A2B"/>
    <w:rsid w:val="326C0C79"/>
    <w:rsid w:val="32C0264B"/>
    <w:rsid w:val="33030EB6"/>
    <w:rsid w:val="3317259E"/>
    <w:rsid w:val="33353039"/>
    <w:rsid w:val="33844740"/>
    <w:rsid w:val="339935C8"/>
    <w:rsid w:val="33BE4DDD"/>
    <w:rsid w:val="33CD3272"/>
    <w:rsid w:val="33F627C9"/>
    <w:rsid w:val="340D7B12"/>
    <w:rsid w:val="348C0A37"/>
    <w:rsid w:val="34B7733E"/>
    <w:rsid w:val="34BD4515"/>
    <w:rsid w:val="34EF0FC6"/>
    <w:rsid w:val="34F767F8"/>
    <w:rsid w:val="3519286E"/>
    <w:rsid w:val="352D221A"/>
    <w:rsid w:val="3542559A"/>
    <w:rsid w:val="35977693"/>
    <w:rsid w:val="359C2EFC"/>
    <w:rsid w:val="35B5220F"/>
    <w:rsid w:val="35E46651"/>
    <w:rsid w:val="36140CE4"/>
    <w:rsid w:val="369167D9"/>
    <w:rsid w:val="36932551"/>
    <w:rsid w:val="370276D6"/>
    <w:rsid w:val="375F0685"/>
    <w:rsid w:val="376E6B1A"/>
    <w:rsid w:val="37B41F26"/>
    <w:rsid w:val="380D6333"/>
    <w:rsid w:val="389C4EBE"/>
    <w:rsid w:val="39161217"/>
    <w:rsid w:val="39535FC7"/>
    <w:rsid w:val="396E1053"/>
    <w:rsid w:val="39A84565"/>
    <w:rsid w:val="39E133A5"/>
    <w:rsid w:val="39EF2819"/>
    <w:rsid w:val="3A39340F"/>
    <w:rsid w:val="3A672392"/>
    <w:rsid w:val="3A7C154E"/>
    <w:rsid w:val="3A824DB6"/>
    <w:rsid w:val="3A900B55"/>
    <w:rsid w:val="3AF42518"/>
    <w:rsid w:val="3AF45588"/>
    <w:rsid w:val="3B20637D"/>
    <w:rsid w:val="3B245E6D"/>
    <w:rsid w:val="3B254CDB"/>
    <w:rsid w:val="3B787F67"/>
    <w:rsid w:val="3B985F13"/>
    <w:rsid w:val="3B9E2611"/>
    <w:rsid w:val="3BBF7944"/>
    <w:rsid w:val="3BF770DE"/>
    <w:rsid w:val="3C5B51D0"/>
    <w:rsid w:val="3C7921E9"/>
    <w:rsid w:val="3CB268F5"/>
    <w:rsid w:val="3D073351"/>
    <w:rsid w:val="3D212BE2"/>
    <w:rsid w:val="3D3A1978"/>
    <w:rsid w:val="3D6A7D83"/>
    <w:rsid w:val="3D98044D"/>
    <w:rsid w:val="3E5E1696"/>
    <w:rsid w:val="3E66679D"/>
    <w:rsid w:val="3E6842C3"/>
    <w:rsid w:val="3E803CE8"/>
    <w:rsid w:val="3EB219E2"/>
    <w:rsid w:val="3EE871B2"/>
    <w:rsid w:val="3F400D9C"/>
    <w:rsid w:val="3F487C50"/>
    <w:rsid w:val="3F502FE8"/>
    <w:rsid w:val="3F5B7984"/>
    <w:rsid w:val="3F7722E4"/>
    <w:rsid w:val="3F8829A2"/>
    <w:rsid w:val="3F88629F"/>
    <w:rsid w:val="3F96367B"/>
    <w:rsid w:val="3FB27214"/>
    <w:rsid w:val="3FBA0B4E"/>
    <w:rsid w:val="3FDD65EB"/>
    <w:rsid w:val="3FE71217"/>
    <w:rsid w:val="408449F7"/>
    <w:rsid w:val="409D5D7A"/>
    <w:rsid w:val="40FE0D96"/>
    <w:rsid w:val="410B3204"/>
    <w:rsid w:val="41103C7F"/>
    <w:rsid w:val="414172BF"/>
    <w:rsid w:val="416F5968"/>
    <w:rsid w:val="41A2189A"/>
    <w:rsid w:val="41FB544E"/>
    <w:rsid w:val="42196463"/>
    <w:rsid w:val="426052B1"/>
    <w:rsid w:val="42AB29D0"/>
    <w:rsid w:val="42EE0B0F"/>
    <w:rsid w:val="42EF4FB3"/>
    <w:rsid w:val="433272A7"/>
    <w:rsid w:val="43C95804"/>
    <w:rsid w:val="43E22422"/>
    <w:rsid w:val="43E508A5"/>
    <w:rsid w:val="440E3217"/>
    <w:rsid w:val="441647C1"/>
    <w:rsid w:val="443C4228"/>
    <w:rsid w:val="443F5350"/>
    <w:rsid w:val="44476729"/>
    <w:rsid w:val="44972098"/>
    <w:rsid w:val="449F0313"/>
    <w:rsid w:val="45154A79"/>
    <w:rsid w:val="456357E4"/>
    <w:rsid w:val="45682DFA"/>
    <w:rsid w:val="45C344D5"/>
    <w:rsid w:val="46034EBE"/>
    <w:rsid w:val="469544B6"/>
    <w:rsid w:val="46F04E55"/>
    <w:rsid w:val="476870E2"/>
    <w:rsid w:val="47775577"/>
    <w:rsid w:val="47B5320C"/>
    <w:rsid w:val="4800556C"/>
    <w:rsid w:val="48671147"/>
    <w:rsid w:val="486A6E89"/>
    <w:rsid w:val="489932CB"/>
    <w:rsid w:val="48F3084E"/>
    <w:rsid w:val="49520049"/>
    <w:rsid w:val="49AA39E1"/>
    <w:rsid w:val="4A1E1CDA"/>
    <w:rsid w:val="4A745D9D"/>
    <w:rsid w:val="4A9741A4"/>
    <w:rsid w:val="4ABB1C1E"/>
    <w:rsid w:val="4AE72A13"/>
    <w:rsid w:val="4B3F45FD"/>
    <w:rsid w:val="4B6E0A3F"/>
    <w:rsid w:val="4BA3693A"/>
    <w:rsid w:val="4BBF74EC"/>
    <w:rsid w:val="4BD50ABE"/>
    <w:rsid w:val="4C1073CE"/>
    <w:rsid w:val="4C39104D"/>
    <w:rsid w:val="4CC823D1"/>
    <w:rsid w:val="4D2910C1"/>
    <w:rsid w:val="4D2A6BE7"/>
    <w:rsid w:val="4D317F76"/>
    <w:rsid w:val="4D387149"/>
    <w:rsid w:val="4D61085B"/>
    <w:rsid w:val="4D926C66"/>
    <w:rsid w:val="4DB0533F"/>
    <w:rsid w:val="4DE33966"/>
    <w:rsid w:val="4DE374C2"/>
    <w:rsid w:val="4E3C3076"/>
    <w:rsid w:val="4E551DEC"/>
    <w:rsid w:val="4E5C7274"/>
    <w:rsid w:val="4E6F656C"/>
    <w:rsid w:val="4E6F6FA8"/>
    <w:rsid w:val="4F0C3B70"/>
    <w:rsid w:val="4F4C72E9"/>
    <w:rsid w:val="4F8E16AF"/>
    <w:rsid w:val="4FA15887"/>
    <w:rsid w:val="4FC155E1"/>
    <w:rsid w:val="4FF03BDD"/>
    <w:rsid w:val="504011DB"/>
    <w:rsid w:val="50827466"/>
    <w:rsid w:val="50F36461"/>
    <w:rsid w:val="51103F9B"/>
    <w:rsid w:val="5125107B"/>
    <w:rsid w:val="51340035"/>
    <w:rsid w:val="51387B25"/>
    <w:rsid w:val="519136D9"/>
    <w:rsid w:val="51A93670"/>
    <w:rsid w:val="522A286E"/>
    <w:rsid w:val="52383B54"/>
    <w:rsid w:val="528A050C"/>
    <w:rsid w:val="52C378C2"/>
    <w:rsid w:val="52E066C6"/>
    <w:rsid w:val="53227B62"/>
    <w:rsid w:val="53973478"/>
    <w:rsid w:val="53986FA1"/>
    <w:rsid w:val="53AC0356"/>
    <w:rsid w:val="53BD6A07"/>
    <w:rsid w:val="53C5235F"/>
    <w:rsid w:val="53D578AD"/>
    <w:rsid w:val="53E61ABA"/>
    <w:rsid w:val="54153EF4"/>
    <w:rsid w:val="5495528E"/>
    <w:rsid w:val="54DC110F"/>
    <w:rsid w:val="54F46459"/>
    <w:rsid w:val="54F75F49"/>
    <w:rsid w:val="550A17D8"/>
    <w:rsid w:val="5515460D"/>
    <w:rsid w:val="55413C56"/>
    <w:rsid w:val="558477DD"/>
    <w:rsid w:val="55C51BA3"/>
    <w:rsid w:val="563A60ED"/>
    <w:rsid w:val="563F3703"/>
    <w:rsid w:val="56665134"/>
    <w:rsid w:val="568D26C1"/>
    <w:rsid w:val="56AD4B11"/>
    <w:rsid w:val="56C1680E"/>
    <w:rsid w:val="56C37E91"/>
    <w:rsid w:val="56FC33A3"/>
    <w:rsid w:val="5726041F"/>
    <w:rsid w:val="57454283"/>
    <w:rsid w:val="57572B9F"/>
    <w:rsid w:val="57601B83"/>
    <w:rsid w:val="578D6F52"/>
    <w:rsid w:val="57B96C96"/>
    <w:rsid w:val="57C540DC"/>
    <w:rsid w:val="57E04A72"/>
    <w:rsid w:val="57EF4CB5"/>
    <w:rsid w:val="57FA1FD8"/>
    <w:rsid w:val="5806097D"/>
    <w:rsid w:val="58197E1A"/>
    <w:rsid w:val="58240E03"/>
    <w:rsid w:val="58276B45"/>
    <w:rsid w:val="58A40196"/>
    <w:rsid w:val="58AB1524"/>
    <w:rsid w:val="58D26AB1"/>
    <w:rsid w:val="58FE1654"/>
    <w:rsid w:val="5980475F"/>
    <w:rsid w:val="599E6993"/>
    <w:rsid w:val="59BE7035"/>
    <w:rsid w:val="59CA3C2C"/>
    <w:rsid w:val="59D800F7"/>
    <w:rsid w:val="59EF71EF"/>
    <w:rsid w:val="59F36CDF"/>
    <w:rsid w:val="59F842F5"/>
    <w:rsid w:val="5A011459"/>
    <w:rsid w:val="5A2F3A8F"/>
    <w:rsid w:val="5A317807"/>
    <w:rsid w:val="5A4A08C9"/>
    <w:rsid w:val="5AE1122D"/>
    <w:rsid w:val="5B1977D6"/>
    <w:rsid w:val="5B2630E4"/>
    <w:rsid w:val="5B266C40"/>
    <w:rsid w:val="5B4F0C1A"/>
    <w:rsid w:val="5B520006"/>
    <w:rsid w:val="5B7025B1"/>
    <w:rsid w:val="5BB029AE"/>
    <w:rsid w:val="5BBE50CA"/>
    <w:rsid w:val="5BC85F49"/>
    <w:rsid w:val="5BCF1086"/>
    <w:rsid w:val="5C1B42CB"/>
    <w:rsid w:val="5C1E3DBB"/>
    <w:rsid w:val="5C3655A9"/>
    <w:rsid w:val="5C433822"/>
    <w:rsid w:val="5C71038F"/>
    <w:rsid w:val="5C7A36E7"/>
    <w:rsid w:val="5C7D6D34"/>
    <w:rsid w:val="5C9A78E6"/>
    <w:rsid w:val="5CA731C6"/>
    <w:rsid w:val="5CBF7DA8"/>
    <w:rsid w:val="5CC826A5"/>
    <w:rsid w:val="5CD853BF"/>
    <w:rsid w:val="5CF14D92"/>
    <w:rsid w:val="5D0D455B"/>
    <w:rsid w:val="5D3F048D"/>
    <w:rsid w:val="5DFB0858"/>
    <w:rsid w:val="5E113BD7"/>
    <w:rsid w:val="5E2A1226"/>
    <w:rsid w:val="5E394EDC"/>
    <w:rsid w:val="5E3C1763"/>
    <w:rsid w:val="5E604B5F"/>
    <w:rsid w:val="5E631F59"/>
    <w:rsid w:val="5F1D47FE"/>
    <w:rsid w:val="5F3D09FC"/>
    <w:rsid w:val="5F4D5702"/>
    <w:rsid w:val="5F775CBC"/>
    <w:rsid w:val="5F942C6F"/>
    <w:rsid w:val="5FB139DA"/>
    <w:rsid w:val="5FEC48FC"/>
    <w:rsid w:val="60017C7C"/>
    <w:rsid w:val="60277897"/>
    <w:rsid w:val="60397415"/>
    <w:rsid w:val="60567FC7"/>
    <w:rsid w:val="60593614"/>
    <w:rsid w:val="608D150F"/>
    <w:rsid w:val="60CF136D"/>
    <w:rsid w:val="60D55390"/>
    <w:rsid w:val="612956DC"/>
    <w:rsid w:val="613320B7"/>
    <w:rsid w:val="615D5386"/>
    <w:rsid w:val="615E35D8"/>
    <w:rsid w:val="617A5F38"/>
    <w:rsid w:val="617C3A5E"/>
    <w:rsid w:val="618172C6"/>
    <w:rsid w:val="61A86601"/>
    <w:rsid w:val="61AA7929"/>
    <w:rsid w:val="61F77588"/>
    <w:rsid w:val="621C6FEF"/>
    <w:rsid w:val="623F41C7"/>
    <w:rsid w:val="628801E0"/>
    <w:rsid w:val="62A74B0A"/>
    <w:rsid w:val="62B40FD5"/>
    <w:rsid w:val="62C751AC"/>
    <w:rsid w:val="63163A3E"/>
    <w:rsid w:val="63424833"/>
    <w:rsid w:val="63770981"/>
    <w:rsid w:val="639257BA"/>
    <w:rsid w:val="63B514A9"/>
    <w:rsid w:val="63C65464"/>
    <w:rsid w:val="64191A38"/>
    <w:rsid w:val="641F6922"/>
    <w:rsid w:val="646D768E"/>
    <w:rsid w:val="646E5E05"/>
    <w:rsid w:val="64744EC0"/>
    <w:rsid w:val="651F6155"/>
    <w:rsid w:val="65517AF0"/>
    <w:rsid w:val="6558033E"/>
    <w:rsid w:val="658B0713"/>
    <w:rsid w:val="65B01F28"/>
    <w:rsid w:val="65EA4F49"/>
    <w:rsid w:val="668D2269"/>
    <w:rsid w:val="66B7380B"/>
    <w:rsid w:val="67466D30"/>
    <w:rsid w:val="67496E77"/>
    <w:rsid w:val="674D7F78"/>
    <w:rsid w:val="675E59B4"/>
    <w:rsid w:val="677671A1"/>
    <w:rsid w:val="67917B37"/>
    <w:rsid w:val="67AD0CFF"/>
    <w:rsid w:val="68077DF9"/>
    <w:rsid w:val="682E5386"/>
    <w:rsid w:val="6849092F"/>
    <w:rsid w:val="68DE6DAC"/>
    <w:rsid w:val="68FE2FAA"/>
    <w:rsid w:val="69054339"/>
    <w:rsid w:val="693764BC"/>
    <w:rsid w:val="694503FF"/>
    <w:rsid w:val="69482477"/>
    <w:rsid w:val="69DB32EB"/>
    <w:rsid w:val="69EB1780"/>
    <w:rsid w:val="6A324824"/>
    <w:rsid w:val="6A707ED8"/>
    <w:rsid w:val="6A8D557A"/>
    <w:rsid w:val="6AA302AD"/>
    <w:rsid w:val="6ACA3A8C"/>
    <w:rsid w:val="6AD40467"/>
    <w:rsid w:val="6B07083C"/>
    <w:rsid w:val="6B102BA4"/>
    <w:rsid w:val="6B511329"/>
    <w:rsid w:val="6BAD7F21"/>
    <w:rsid w:val="6BB87D88"/>
    <w:rsid w:val="6BE950A1"/>
    <w:rsid w:val="6C111246"/>
    <w:rsid w:val="6C1D7BEB"/>
    <w:rsid w:val="6C5A0E3F"/>
    <w:rsid w:val="6CA420BB"/>
    <w:rsid w:val="6CE54BAD"/>
    <w:rsid w:val="6D203E37"/>
    <w:rsid w:val="6D286848"/>
    <w:rsid w:val="6D2D742E"/>
    <w:rsid w:val="6D567859"/>
    <w:rsid w:val="6D8A1ACB"/>
    <w:rsid w:val="6DA265FA"/>
    <w:rsid w:val="6DCF760B"/>
    <w:rsid w:val="6DF64B98"/>
    <w:rsid w:val="6E5A5127"/>
    <w:rsid w:val="6E7A7577"/>
    <w:rsid w:val="6E9E2D83"/>
    <w:rsid w:val="6F2A2D4B"/>
    <w:rsid w:val="6F937089"/>
    <w:rsid w:val="6FE078AE"/>
    <w:rsid w:val="701F61AD"/>
    <w:rsid w:val="70381498"/>
    <w:rsid w:val="705F07D2"/>
    <w:rsid w:val="712F67BF"/>
    <w:rsid w:val="714258B8"/>
    <w:rsid w:val="714A1B39"/>
    <w:rsid w:val="71DE04A1"/>
    <w:rsid w:val="71FB277D"/>
    <w:rsid w:val="72005FE5"/>
    <w:rsid w:val="72071122"/>
    <w:rsid w:val="721970A7"/>
    <w:rsid w:val="72712A3F"/>
    <w:rsid w:val="72C708B1"/>
    <w:rsid w:val="730B2E93"/>
    <w:rsid w:val="73247A1D"/>
    <w:rsid w:val="736F3422"/>
    <w:rsid w:val="737305B5"/>
    <w:rsid w:val="738844E4"/>
    <w:rsid w:val="73BB6668"/>
    <w:rsid w:val="73EF1E6D"/>
    <w:rsid w:val="740E7ED6"/>
    <w:rsid w:val="74760B3E"/>
    <w:rsid w:val="7491561A"/>
    <w:rsid w:val="75091F13"/>
    <w:rsid w:val="7521074C"/>
    <w:rsid w:val="752C5954"/>
    <w:rsid w:val="7533222E"/>
    <w:rsid w:val="759F5B15"/>
    <w:rsid w:val="75DB1EB0"/>
    <w:rsid w:val="76225DCF"/>
    <w:rsid w:val="7693567A"/>
    <w:rsid w:val="76FB321F"/>
    <w:rsid w:val="77732DB5"/>
    <w:rsid w:val="77F75794"/>
    <w:rsid w:val="78153E6C"/>
    <w:rsid w:val="786F17CF"/>
    <w:rsid w:val="78AF42C1"/>
    <w:rsid w:val="78C37D6C"/>
    <w:rsid w:val="78CA70D9"/>
    <w:rsid w:val="78E977D3"/>
    <w:rsid w:val="79352A18"/>
    <w:rsid w:val="793622EC"/>
    <w:rsid w:val="793E304B"/>
    <w:rsid w:val="794B4E1C"/>
    <w:rsid w:val="79977A95"/>
    <w:rsid w:val="79AD6A52"/>
    <w:rsid w:val="79B24069"/>
    <w:rsid w:val="7A097A01"/>
    <w:rsid w:val="7A153D7C"/>
    <w:rsid w:val="7A1C14E2"/>
    <w:rsid w:val="7A4B626B"/>
    <w:rsid w:val="7A523156"/>
    <w:rsid w:val="7A680BCB"/>
    <w:rsid w:val="7A9419C0"/>
    <w:rsid w:val="7ACB239D"/>
    <w:rsid w:val="7AEC35AA"/>
    <w:rsid w:val="7AF406B1"/>
    <w:rsid w:val="7B14665D"/>
    <w:rsid w:val="7B5E221C"/>
    <w:rsid w:val="7B8B2DC3"/>
    <w:rsid w:val="7BE07E45"/>
    <w:rsid w:val="7C350F81"/>
    <w:rsid w:val="7C4411C4"/>
    <w:rsid w:val="7C5807CC"/>
    <w:rsid w:val="7C66738C"/>
    <w:rsid w:val="7CA57EB5"/>
    <w:rsid w:val="7D275F29"/>
    <w:rsid w:val="7D8C2E23"/>
    <w:rsid w:val="7DC26892"/>
    <w:rsid w:val="7E1075B0"/>
    <w:rsid w:val="7E1C41A7"/>
    <w:rsid w:val="7E4F1E25"/>
    <w:rsid w:val="7E8C5E87"/>
    <w:rsid w:val="7EA57D41"/>
    <w:rsid w:val="7EAE0C23"/>
    <w:rsid w:val="7F0D3AEF"/>
    <w:rsid w:val="7F3B240A"/>
    <w:rsid w:val="7F6776A3"/>
    <w:rsid w:val="7F772081"/>
    <w:rsid w:val="7F9B1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semiHidden/>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Intense Reference"/>
    <w:basedOn w:val="18"/>
    <w:qFormat/>
    <w:uiPriority w:val="32"/>
    <w:rPr>
      <w:b/>
      <w:bCs/>
      <w:smallCaps/>
      <w:color w:val="2F5597" w:themeColor="accent1" w:themeShade="BF"/>
      <w:spacing w:val="5"/>
    </w:rPr>
  </w:style>
  <w:style w:type="character" w:customStyle="1" w:styleId="38">
    <w:name w:val="Unresolved Mention"/>
    <w:basedOn w:val="18"/>
    <w:semiHidden/>
    <w:unhideWhenUsed/>
    <w:qFormat/>
    <w:uiPriority w:val="99"/>
    <w:rPr>
      <w:color w:val="605E5C"/>
      <w:shd w:val="clear" w:color="auto" w:fill="E1DFDD"/>
    </w:rPr>
  </w:style>
  <w:style w:type="character" w:customStyle="1" w:styleId="39">
    <w:name w:val="页眉 字符"/>
    <w:basedOn w:val="18"/>
    <w:link w:val="12"/>
    <w:qFormat/>
    <w:uiPriority w:val="99"/>
    <w:rPr>
      <w:sz w:val="18"/>
      <w:szCs w:val="18"/>
    </w:rPr>
  </w:style>
  <w:style w:type="character" w:customStyle="1" w:styleId="40">
    <w:name w:val="页脚 字符"/>
    <w:basedOn w:val="18"/>
    <w:link w:val="11"/>
    <w:qFormat/>
    <w:uiPriority w:val="99"/>
    <w:rPr>
      <w:sz w:val="18"/>
      <w:szCs w:val="18"/>
    </w:rPr>
  </w:style>
  <w:style w:type="character" w:customStyle="1" w:styleId="41">
    <w:name w:val="s1"/>
    <w:basedOn w:val="18"/>
    <w:qFormat/>
    <w:uiPriority w:val="0"/>
    <w:rPr>
      <w:rFonts w:hint="default" w:ascii=".PingFangSC-Regular" w:hAnsi=".PingFangSC-Regular"/>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3592</Words>
  <Characters>4288</Characters>
  <Lines>108</Lines>
  <Paragraphs>24</Paragraphs>
  <TotalTime>3</TotalTime>
  <ScaleCrop>false</ScaleCrop>
  <LinksUpToDate>false</LinksUpToDate>
  <CharactersWithSpaces>4370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2025-02-11T12:43:00Z</dcterms:created>
  <dc:creator>Zitong Yu</dc:creator>
  <cp:lastModifiedBy>yw</cp:lastModifiedBy>
  <cp:lastPrinted>2025-02-13T01:11:00Z</cp:lastPrinted>
  <dcterms:modified xsi:type="dcterms:W3CDTF">2026-02-13T08:53:49Z</dcterms:modified>
  <cp:revision>347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eyJoZGlkIjoiMGFmN2UyZmExMTI2M2Y2YjViNzg5NzA0YTlhYzYxNDciLCJ1c2VySWQiOiI2MDU4MTcwOTUifQ==</vt:lpwstr>
  </property>
  <property fmtid="{D5CDD505-2E9C-101B-9397-08002B2CF9AE}" pid="3" name="KSOProductBuildVer">
    <vt:lpwstr>2052-12.1.0.24034</vt:lpwstr>
  </property>
  <property fmtid="{D5CDD505-2E9C-101B-9397-08002B2CF9AE}" pid="4" name="ICV">
    <vt:lpwstr>FB735A4A11D1453D96D1314F69A12844_13</vt:lpwstr>
  </property>
</Properties>
</file>